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020B0" w14:textId="517408F8" w:rsidR="00CF1D83" w:rsidRPr="005A0678" w:rsidRDefault="00CF1D83" w:rsidP="00892830">
      <w:pPr>
        <w:rPr>
          <w:rFonts w:ascii="Times New Roman" w:hAnsi="Times New Roman" w:cs="Times New Roman"/>
          <w:b/>
          <w:sz w:val="20"/>
          <w:szCs w:val="20"/>
        </w:rPr>
      </w:pPr>
      <w:r w:rsidRPr="005A0678">
        <w:rPr>
          <w:rFonts w:ascii="Times New Roman" w:hAnsi="Times New Roman" w:cs="Times New Roman"/>
          <w:b/>
          <w:sz w:val="20"/>
          <w:szCs w:val="20"/>
        </w:rPr>
        <w:t xml:space="preserve">AVISO DE </w:t>
      </w:r>
      <w:r w:rsidR="00A67569">
        <w:rPr>
          <w:rFonts w:ascii="Times New Roman" w:hAnsi="Times New Roman" w:cs="Times New Roman"/>
          <w:b/>
          <w:sz w:val="20"/>
          <w:szCs w:val="20"/>
        </w:rPr>
        <w:t>RESULTADOS</w:t>
      </w:r>
    </w:p>
    <w:p w14:paraId="34BD12E6" w14:textId="77777777" w:rsidR="00B74F81" w:rsidRPr="005C621B" w:rsidRDefault="00B74F81" w:rsidP="00B74F81">
      <w:pPr>
        <w:spacing w:after="120"/>
        <w:jc w:val="center"/>
        <w:rPr>
          <w:rFonts w:ascii="Times New Roman" w:hAnsi="Times New Roman"/>
          <w:b/>
        </w:rPr>
      </w:pPr>
      <w:r>
        <w:rPr>
          <w:rFonts w:ascii="Times New Roman" w:hAnsi="Times New Roman"/>
          <w:b/>
          <w:noProof/>
          <w:lang w:eastAsia="es-AR"/>
        </w:rPr>
        <w:drawing>
          <wp:inline distT="0" distB="0" distL="0" distR="0" wp14:anchorId="6C0FDA62" wp14:editId="3739BFA3">
            <wp:extent cx="1195070" cy="5422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070" cy="542290"/>
                    </a:xfrm>
                    <a:prstGeom prst="rect">
                      <a:avLst/>
                    </a:prstGeom>
                    <a:noFill/>
                  </pic:spPr>
                </pic:pic>
              </a:graphicData>
            </a:graphic>
          </wp:inline>
        </w:drawing>
      </w:r>
    </w:p>
    <w:p w14:paraId="548ACE0E" w14:textId="77777777" w:rsidR="00B74F81" w:rsidRPr="005C621B" w:rsidRDefault="00B74F81" w:rsidP="00B74F81">
      <w:pPr>
        <w:spacing w:after="120" w:line="240" w:lineRule="exact"/>
        <w:jc w:val="center"/>
        <w:rPr>
          <w:rFonts w:ascii="Times New Roman" w:hAnsi="Times New Roman"/>
          <w:sz w:val="20"/>
        </w:rPr>
      </w:pPr>
      <w:r w:rsidRPr="0013509D">
        <w:rPr>
          <w:rFonts w:ascii="Times New Roman" w:hAnsi="Times New Roman"/>
          <w:b/>
          <w:sz w:val="20"/>
          <w:szCs w:val="20"/>
        </w:rPr>
        <w:t>CRESUD SOCIEDAD ANÓNIMA COMERCIAL, INMOBILIARIA, FINANCIERA Y AGROPECUARIA</w:t>
      </w:r>
    </w:p>
    <w:p w14:paraId="4CAA5CD4" w14:textId="77777777" w:rsidR="00B8242D" w:rsidRPr="00B8242D" w:rsidRDefault="00B8242D" w:rsidP="00521EB7">
      <w:pPr>
        <w:pStyle w:val="BHTexto"/>
        <w:widowControl w:val="0"/>
        <w:spacing w:before="240" w:after="240"/>
        <w:jc w:val="center"/>
        <w:rPr>
          <w:b/>
          <w:lang w:val="es-AR"/>
        </w:rPr>
      </w:pPr>
      <w:r w:rsidRPr="00B8242D">
        <w:rPr>
          <w:b/>
          <w:lang w:val="es-AR"/>
        </w:rPr>
        <w:t>DÉCIMA NOVENA SERIE DE OBLIGACIONES NEGOCIABLES A SER EMITIDAS EN UNA CLASE EN EL MARCO DE NUESTRO PROGRAMA GLOBAL DE EMISIÓN DE OBLIGACIONES NEGOCIABLES SIMPLES (NO CONVERTIBLES EN ACCIONES) POR UN VALOR NOMINAL DE HASTA USD 500.000.000 (DÓLARES ESTADOUNIDENSES QUINIENTOS MILLONES) (O SU EQUIVALENTE EN OTRAS MONEDAS O UNIDADES DE VALOR) (EL “</w:t>
      </w:r>
      <w:r w:rsidRPr="000E775C">
        <w:rPr>
          <w:b/>
          <w:u w:val="single"/>
          <w:lang w:val="es-AR"/>
        </w:rPr>
        <w:t>PROGRAMA</w:t>
      </w:r>
      <w:r w:rsidRPr="00B8242D">
        <w:rPr>
          <w:b/>
          <w:lang w:val="es-AR"/>
        </w:rPr>
        <w:t>”), POR UN VALOR NOMINAL DE HASTA EL EQUIVALENTE A USD 35.737.138 (DÓLARES ESTADOUNIDENSES TREINTA Y CINCO MILLONES SETECIENTOS TREINTA Y SIETE MIL CIENTO TREINTA Y OCHO) (EL “</w:t>
      </w:r>
      <w:r w:rsidRPr="000E775C">
        <w:rPr>
          <w:b/>
          <w:u w:val="single"/>
          <w:lang w:val="es-AR"/>
        </w:rPr>
        <w:t>MONTO TOTAL MÁXIMO</w:t>
      </w:r>
      <w:r w:rsidRPr="00B8242D">
        <w:rPr>
          <w:b/>
          <w:lang w:val="es-AR"/>
        </w:rPr>
        <w:t xml:space="preserve">”). </w:t>
      </w:r>
    </w:p>
    <w:p w14:paraId="64927303" w14:textId="6BA08A11" w:rsidR="00B8242D" w:rsidRDefault="00B8242D" w:rsidP="00521EB7">
      <w:pPr>
        <w:pStyle w:val="BHTexto"/>
        <w:widowControl w:val="0"/>
        <w:spacing w:before="240" w:after="240"/>
        <w:jc w:val="center"/>
        <w:rPr>
          <w:b/>
          <w:lang w:val="es-AR"/>
        </w:rPr>
      </w:pPr>
      <w:r w:rsidRPr="00B8242D">
        <w:rPr>
          <w:b/>
          <w:lang w:val="es-AR"/>
        </w:rPr>
        <w:t xml:space="preserve">OBLIGACIONES NEGOCIABLES CLASE XXXIII, DENOMINADAS Y PAGADERAS EN DÓLARES ESTADOUNIDENSES, A UNA TASA DE </w:t>
      </w:r>
      <w:r w:rsidR="00880EF0">
        <w:rPr>
          <w:b/>
          <w:lang w:val="es-AR"/>
        </w:rPr>
        <w:t>INTERÉS FIJA NOMINAL ANUAL DEL 6,99</w:t>
      </w:r>
      <w:r w:rsidRPr="00B8242D">
        <w:rPr>
          <w:b/>
          <w:lang w:val="es-AR"/>
        </w:rPr>
        <w:t>%, CON VENCIMIENTO A LOS 36 MESES DE LA FECHA DE EMISIÓN Y LIQUIDACIÓN, CON AMORTIZACIONES ANUALES DEL 33%, 33% Y 34%, RESPECTIVAMENTE, POR UN VALOR NOMINAL DE HASTA USD 35.737.138 (DÓLARES ESTADOUNIDENSES TREINTA Y CINCO MILLONES SETECIENTOS TREINTA Y SIETE MIL CIENTO TREINTA Y OCHO) (LAS “</w:t>
      </w:r>
      <w:r w:rsidRPr="000E775C">
        <w:rPr>
          <w:b/>
          <w:u w:val="single"/>
          <w:lang w:val="es-AR"/>
        </w:rPr>
        <w:t>OBLIGACIONES NEGOCIABLES CLASE XXXIII</w:t>
      </w:r>
      <w:r w:rsidRPr="00B8242D">
        <w:rPr>
          <w:b/>
          <w:lang w:val="es-AR"/>
        </w:rPr>
        <w:t>” Y/O LAS “</w:t>
      </w:r>
      <w:r w:rsidRPr="000E775C">
        <w:rPr>
          <w:b/>
          <w:u w:val="single"/>
          <w:lang w:val="es-AR"/>
        </w:rPr>
        <w:t>OBLIGACIONES NEGOCIABLES</w:t>
      </w:r>
      <w:r w:rsidRPr="00B8242D">
        <w:rPr>
          <w:b/>
          <w:lang w:val="es-AR"/>
        </w:rPr>
        <w:t xml:space="preserve">”), A SER SUSCRIPTAS </w:t>
      </w:r>
      <w:r w:rsidR="000701CB">
        <w:rPr>
          <w:b/>
          <w:lang w:val="es-AR"/>
        </w:rPr>
        <w:t>MEDIANTE LA OPCIÓN PAR</w:t>
      </w:r>
      <w:r w:rsidR="006A7CC8">
        <w:rPr>
          <w:b/>
          <w:lang w:val="es-AR"/>
        </w:rPr>
        <w:t>.</w:t>
      </w:r>
    </w:p>
    <w:p w14:paraId="6F88117C" w14:textId="77777777" w:rsidR="00B8242D" w:rsidRDefault="00B8242D" w:rsidP="00521EB7">
      <w:pPr>
        <w:pStyle w:val="BHTexto"/>
        <w:widowControl w:val="0"/>
        <w:spacing w:before="240" w:after="240"/>
        <w:jc w:val="center"/>
        <w:rPr>
          <w:b/>
          <w:lang w:val="es-AR"/>
        </w:rPr>
      </w:pPr>
      <w:r w:rsidRPr="00B8242D">
        <w:rPr>
          <w:b/>
          <w:lang w:val="es-AR"/>
        </w:rPr>
        <w:t xml:space="preserve">OPCIÓN PAR: </w:t>
      </w:r>
    </w:p>
    <w:p w14:paraId="7E65331D" w14:textId="08DD8D30" w:rsidR="00B8242D" w:rsidRDefault="00FF0037" w:rsidP="00FF0037">
      <w:pPr>
        <w:pStyle w:val="BHTexto"/>
        <w:widowControl w:val="0"/>
        <w:spacing w:before="240" w:after="240"/>
        <w:jc w:val="center"/>
        <w:rPr>
          <w:b/>
          <w:lang w:val="es-AR"/>
        </w:rPr>
      </w:pPr>
      <w:r>
        <w:rPr>
          <w:b/>
          <w:lang w:val="es-AR"/>
        </w:rPr>
        <w:t xml:space="preserve">(I) </w:t>
      </w:r>
      <w:r w:rsidR="00B8242D" w:rsidRPr="00B8242D">
        <w:rPr>
          <w:b/>
          <w:lang w:val="es-AR"/>
        </w:rPr>
        <w:t xml:space="preserve">INTEGRACIÓN EN ESPECIE, MEDIANTE EL CANJE DE </w:t>
      </w:r>
      <w:r w:rsidR="000701CB" w:rsidRPr="000701CB">
        <w:rPr>
          <w:b/>
          <w:lang w:val="es-AR"/>
        </w:rPr>
        <w:t>NEGOCIABLES DÉCIMO CUARTA SERIE CLASE XXV (CÓDIGO DE ESPECIE EN CAJA DE VALORES N° 54299, TICKER: CSFQO</w:t>
      </w:r>
      <w:r w:rsidR="000701CB">
        <w:rPr>
          <w:b/>
          <w:lang w:val="es-AR"/>
        </w:rPr>
        <w:t xml:space="preserve"> (LAS “</w:t>
      </w:r>
      <w:r w:rsidR="000701CB" w:rsidRPr="000E775C">
        <w:rPr>
          <w:b/>
          <w:u w:val="single"/>
          <w:lang w:val="es-AR"/>
        </w:rPr>
        <w:t>OBLIGACIONES NEGOCIABLES EXISTENTES</w:t>
      </w:r>
      <w:r w:rsidR="000701CB">
        <w:rPr>
          <w:b/>
          <w:lang w:val="es-AR"/>
        </w:rPr>
        <w:t>”)</w:t>
      </w:r>
      <w:r w:rsidR="00B8242D" w:rsidRPr="00B8242D">
        <w:rPr>
          <w:b/>
          <w:lang w:val="es-AR"/>
        </w:rPr>
        <w:t>; Y (II) PAGO POR PARTE DE LA COMPAÑÍA AL TENEDOR DE UNA CONTRAPRESTACIÓN ANTICIPADA (TAL COMO SE DEFINE MÁS ADELANTE) EN PESOS, SOLO PARA LOS TENEDORES QUE ACEPTEN LA OFERTA DE CANJE EN O ANTES DE LA FECHA LÍMITE PARA ACCEDER A LA CONTRAPRESTACIÓN ANTICIPADA (TAL COMO SE DEFINE MÁS ADELANTE).</w:t>
      </w:r>
    </w:p>
    <w:p w14:paraId="16EAF231" w14:textId="2AC4026D" w:rsidR="00C62553" w:rsidRDefault="00C62553" w:rsidP="00C26091">
      <w:pPr>
        <w:spacing w:before="120" w:after="120"/>
        <w:jc w:val="both"/>
        <w:rPr>
          <w:rFonts w:ascii="Times New Roman" w:hAnsi="Times New Roman" w:cs="Times New Roman"/>
          <w:snapToGrid w:val="0"/>
          <w:sz w:val="20"/>
          <w:szCs w:val="20"/>
        </w:rPr>
      </w:pPr>
      <w:r w:rsidRPr="00C62553">
        <w:rPr>
          <w:rFonts w:ascii="Times New Roman" w:hAnsi="Times New Roman" w:cs="Times New Roman"/>
          <w:snapToGrid w:val="0"/>
          <w:sz w:val="20"/>
          <w:szCs w:val="20"/>
        </w:rPr>
        <w:t>LA OFERTA PÚBLICA DE LAS OBLIGACIONES NEGOCIABLES CLASE XXXIII SE EFECT</w:t>
      </w:r>
      <w:r w:rsidR="000E775C">
        <w:rPr>
          <w:rFonts w:ascii="Times New Roman" w:hAnsi="Times New Roman" w:cs="Times New Roman"/>
          <w:snapToGrid w:val="0"/>
          <w:sz w:val="20"/>
          <w:szCs w:val="20"/>
        </w:rPr>
        <w:t>UÓ</w:t>
      </w:r>
      <w:r w:rsidRPr="00C62553">
        <w:rPr>
          <w:rFonts w:ascii="Times New Roman" w:hAnsi="Times New Roman" w:cs="Times New Roman"/>
          <w:snapToGrid w:val="0"/>
          <w:sz w:val="20"/>
          <w:szCs w:val="20"/>
        </w:rPr>
        <w:t xml:space="preserve"> COMO CONSECUENCIA DE LO DISPUESTO POR LA COMUNICACIÓN “A” 7308 DEL BANCO CENTRAL DE LA REPÚBLICA ARGENTINA (MODIFICATORIA Y COMPLEMENTARIA DE LAS COMUNICACIONES “A” 7106 Y “A” 7230 Y “A” 7272), QUE RESTRINGE EL ACCESO AL MERCADO DE CAMBIOS PARA OBTENER DÓLARES ESTADOUNIDENSES AL IMPONER NUEVAS CONDICIONES PARA LA COMPRA DE DIVISAS PARA QUIENES REGISTRAN VENCIMIENTOS DE CAPITAL PROGRAMADOS HASTA EL 31 DE DICIEMBRE DE 2021 POR EMISIONES DE TÍTULOS DE DEUDA CON REGISTRO PÚBLICO EN EL PAÍS DENOMINADOS EN MONEDA EXTRANJERA. POR LO TANTO, LA OFERTA PÚBLICA DE LAS OBLIGACIONES NEGOCIABLES CLASE XXXIII SE EFECT</w:t>
      </w:r>
      <w:r w:rsidR="000E775C">
        <w:rPr>
          <w:rFonts w:ascii="Times New Roman" w:hAnsi="Times New Roman" w:cs="Times New Roman"/>
          <w:snapToGrid w:val="0"/>
          <w:sz w:val="20"/>
          <w:szCs w:val="20"/>
        </w:rPr>
        <w:t>UÓ</w:t>
      </w:r>
      <w:r w:rsidRPr="00C62553">
        <w:rPr>
          <w:rFonts w:ascii="Times New Roman" w:hAnsi="Times New Roman" w:cs="Times New Roman"/>
          <w:snapToGrid w:val="0"/>
          <w:sz w:val="20"/>
          <w:szCs w:val="20"/>
        </w:rPr>
        <w:t xml:space="preserve"> CON LA FINALIDAD DE LLEVAR A CABO LA REFINANCIACIÓN DE LAS </w:t>
      </w:r>
      <w:r w:rsidR="000701CB" w:rsidRPr="000701CB">
        <w:rPr>
          <w:rFonts w:ascii="Times New Roman" w:hAnsi="Times New Roman" w:cs="Times New Roman"/>
          <w:snapToGrid w:val="0"/>
          <w:sz w:val="20"/>
          <w:szCs w:val="20"/>
        </w:rPr>
        <w:t>OBLIGACIONES NEGOCIABLES EXISTENTES</w:t>
      </w:r>
      <w:r w:rsidRPr="00C62553">
        <w:rPr>
          <w:rFonts w:ascii="Times New Roman" w:hAnsi="Times New Roman" w:cs="Times New Roman"/>
          <w:snapToGrid w:val="0"/>
          <w:sz w:val="20"/>
          <w:szCs w:val="20"/>
        </w:rPr>
        <w:t>, EN LOS TÉRMINOS DE LAS COMUNICACIONES REFERIDAS.</w:t>
      </w:r>
    </w:p>
    <w:p w14:paraId="2F106159" w14:textId="4EBF5DD2" w:rsidR="006A4B87" w:rsidRDefault="00A67569" w:rsidP="00C26091">
      <w:pPr>
        <w:spacing w:before="120" w:after="120"/>
        <w:jc w:val="both"/>
        <w:rPr>
          <w:rFonts w:ascii="Times New Roman" w:hAnsi="Times New Roman" w:cs="Times New Roman"/>
          <w:snapToGrid w:val="0"/>
          <w:sz w:val="20"/>
          <w:szCs w:val="20"/>
        </w:rPr>
      </w:pPr>
      <w:r w:rsidRPr="005A0678">
        <w:rPr>
          <w:rFonts w:ascii="Times New Roman" w:hAnsi="Times New Roman" w:cs="Times New Roman"/>
          <w:snapToGrid w:val="0"/>
          <w:sz w:val="20"/>
          <w:szCs w:val="20"/>
        </w:rPr>
        <w:t>El presente</w:t>
      </w:r>
      <w:r>
        <w:rPr>
          <w:rFonts w:ascii="Times New Roman" w:hAnsi="Times New Roman" w:cs="Times New Roman"/>
          <w:snapToGrid w:val="0"/>
          <w:sz w:val="20"/>
          <w:szCs w:val="20"/>
        </w:rPr>
        <w:t xml:space="preserve"> aviso de resultados (el “</w:t>
      </w:r>
      <w:r w:rsidRPr="008E71BB">
        <w:rPr>
          <w:rFonts w:ascii="Times New Roman" w:hAnsi="Times New Roman" w:cs="Times New Roman"/>
          <w:snapToGrid w:val="0"/>
          <w:sz w:val="20"/>
          <w:szCs w:val="20"/>
          <w:u w:val="single"/>
        </w:rPr>
        <w:t xml:space="preserve">Aviso </w:t>
      </w:r>
      <w:r>
        <w:rPr>
          <w:rFonts w:ascii="Times New Roman" w:hAnsi="Times New Roman" w:cs="Times New Roman"/>
          <w:snapToGrid w:val="0"/>
          <w:sz w:val="20"/>
          <w:szCs w:val="20"/>
          <w:u w:val="single"/>
        </w:rPr>
        <w:t>de Resultados</w:t>
      </w:r>
      <w:r>
        <w:rPr>
          <w:rFonts w:ascii="Times New Roman" w:hAnsi="Times New Roman" w:cs="Times New Roman"/>
          <w:snapToGrid w:val="0"/>
          <w:sz w:val="20"/>
          <w:szCs w:val="20"/>
        </w:rPr>
        <w:t>”) es un aviso complementario</w:t>
      </w:r>
      <w:r w:rsidR="00C62553" w:rsidRPr="00C62553">
        <w:rPr>
          <w:rFonts w:ascii="Times New Roman" w:hAnsi="Times New Roman" w:cs="Times New Roman"/>
          <w:snapToGrid w:val="0"/>
          <w:sz w:val="20"/>
          <w:szCs w:val="20"/>
        </w:rPr>
        <w:t xml:space="preserve"> </w:t>
      </w:r>
      <w:r w:rsidR="00C62553">
        <w:rPr>
          <w:rFonts w:ascii="Times New Roman" w:hAnsi="Times New Roman" w:cs="Times New Roman"/>
          <w:snapToGrid w:val="0"/>
          <w:sz w:val="20"/>
          <w:szCs w:val="20"/>
        </w:rPr>
        <w:t>al</w:t>
      </w:r>
      <w:r w:rsidR="00F0274B">
        <w:rPr>
          <w:rFonts w:ascii="Times New Roman" w:hAnsi="Times New Roman" w:cs="Times New Roman"/>
          <w:snapToGrid w:val="0"/>
          <w:sz w:val="20"/>
          <w:szCs w:val="20"/>
        </w:rPr>
        <w:t>:</w:t>
      </w:r>
      <w:r w:rsidR="00C62553">
        <w:rPr>
          <w:rFonts w:ascii="Times New Roman" w:hAnsi="Times New Roman" w:cs="Times New Roman"/>
          <w:snapToGrid w:val="0"/>
          <w:sz w:val="20"/>
          <w:szCs w:val="20"/>
        </w:rPr>
        <w:t xml:space="preserve"> </w:t>
      </w:r>
      <w:r w:rsidR="000701CB">
        <w:rPr>
          <w:rFonts w:ascii="Times New Roman" w:hAnsi="Times New Roman" w:cs="Times New Roman"/>
          <w:snapToGrid w:val="0"/>
          <w:sz w:val="20"/>
          <w:szCs w:val="20"/>
        </w:rPr>
        <w:t xml:space="preserve">(i) </w:t>
      </w:r>
      <w:r w:rsidR="00E366D8">
        <w:rPr>
          <w:rFonts w:ascii="Times New Roman" w:hAnsi="Times New Roman" w:cs="Times New Roman"/>
          <w:snapToGrid w:val="0"/>
          <w:sz w:val="20"/>
          <w:szCs w:val="20"/>
        </w:rPr>
        <w:t>p</w:t>
      </w:r>
      <w:r w:rsidR="00C62553" w:rsidRPr="005A0678">
        <w:rPr>
          <w:rFonts w:ascii="Times New Roman" w:hAnsi="Times New Roman" w:cs="Times New Roman"/>
          <w:snapToGrid w:val="0"/>
          <w:sz w:val="20"/>
          <w:szCs w:val="20"/>
        </w:rPr>
        <w:t>rospecto del Programa de fecha 2</w:t>
      </w:r>
      <w:r w:rsidR="00C62553">
        <w:rPr>
          <w:rFonts w:ascii="Times New Roman" w:hAnsi="Times New Roman" w:cs="Times New Roman"/>
          <w:snapToGrid w:val="0"/>
          <w:sz w:val="20"/>
          <w:szCs w:val="20"/>
        </w:rPr>
        <w:t>3</w:t>
      </w:r>
      <w:r w:rsidR="00C62553" w:rsidRPr="005A0678">
        <w:rPr>
          <w:rFonts w:ascii="Times New Roman" w:hAnsi="Times New Roman" w:cs="Times New Roman"/>
          <w:snapToGrid w:val="0"/>
          <w:sz w:val="20"/>
          <w:szCs w:val="20"/>
        </w:rPr>
        <w:t xml:space="preserve"> de octubre de 2020 (el “</w:t>
      </w:r>
      <w:r w:rsidR="00C62553" w:rsidRPr="00892830">
        <w:rPr>
          <w:rFonts w:ascii="Times New Roman" w:hAnsi="Times New Roman" w:cs="Times New Roman"/>
          <w:snapToGrid w:val="0"/>
          <w:sz w:val="20"/>
          <w:szCs w:val="20"/>
          <w:u w:val="single"/>
        </w:rPr>
        <w:t>Prospecto</w:t>
      </w:r>
      <w:r w:rsidR="00C62553" w:rsidRPr="005A0678">
        <w:rPr>
          <w:rFonts w:ascii="Times New Roman" w:hAnsi="Times New Roman" w:cs="Times New Roman"/>
          <w:snapToGrid w:val="0"/>
          <w:sz w:val="20"/>
          <w:szCs w:val="20"/>
        </w:rPr>
        <w:t>”)</w:t>
      </w:r>
      <w:r w:rsidR="000701CB">
        <w:rPr>
          <w:rFonts w:ascii="Times New Roman" w:hAnsi="Times New Roman" w:cs="Times New Roman"/>
          <w:snapToGrid w:val="0"/>
          <w:sz w:val="20"/>
          <w:szCs w:val="20"/>
        </w:rPr>
        <w:t>;</w:t>
      </w:r>
      <w:r w:rsidR="000701CB" w:rsidRPr="000701CB">
        <w:rPr>
          <w:rFonts w:ascii="Times New Roman" w:hAnsi="Times New Roman" w:cs="Times New Roman"/>
          <w:snapToGrid w:val="0"/>
          <w:sz w:val="20"/>
          <w:szCs w:val="20"/>
        </w:rPr>
        <w:t xml:space="preserve"> </w:t>
      </w:r>
      <w:r w:rsidR="000701CB">
        <w:rPr>
          <w:rFonts w:ascii="Times New Roman" w:hAnsi="Times New Roman" w:cs="Times New Roman"/>
          <w:snapToGrid w:val="0"/>
          <w:sz w:val="20"/>
          <w:szCs w:val="20"/>
        </w:rPr>
        <w:t xml:space="preserve">(ii) </w:t>
      </w:r>
      <w:r w:rsidR="00E366D8" w:rsidRPr="005A0678">
        <w:rPr>
          <w:rFonts w:ascii="Times New Roman" w:hAnsi="Times New Roman" w:cs="Times New Roman"/>
          <w:snapToGrid w:val="0"/>
          <w:sz w:val="20"/>
          <w:szCs w:val="20"/>
        </w:rPr>
        <w:t xml:space="preserve">suplemento de prospecto y canje </w:t>
      </w:r>
      <w:r w:rsidR="000701CB" w:rsidRPr="005A0678">
        <w:rPr>
          <w:rFonts w:ascii="Times New Roman" w:hAnsi="Times New Roman" w:cs="Times New Roman"/>
          <w:snapToGrid w:val="0"/>
          <w:sz w:val="20"/>
          <w:szCs w:val="20"/>
        </w:rPr>
        <w:t xml:space="preserve">de fecha </w:t>
      </w:r>
      <w:r w:rsidR="000701CB">
        <w:rPr>
          <w:rFonts w:ascii="Times New Roman" w:hAnsi="Times New Roman" w:cs="Times New Roman"/>
          <w:snapToGrid w:val="0"/>
          <w:sz w:val="20"/>
          <w:szCs w:val="20"/>
        </w:rPr>
        <w:t>11</w:t>
      </w:r>
      <w:r w:rsidR="000701CB" w:rsidRPr="005A0678">
        <w:rPr>
          <w:rFonts w:ascii="Times New Roman" w:hAnsi="Times New Roman" w:cs="Times New Roman"/>
          <w:snapToGrid w:val="0"/>
          <w:sz w:val="20"/>
          <w:szCs w:val="20"/>
        </w:rPr>
        <w:t xml:space="preserve"> de </w:t>
      </w:r>
      <w:r w:rsidR="000701CB">
        <w:rPr>
          <w:rFonts w:ascii="Times New Roman" w:hAnsi="Times New Roman" w:cs="Times New Roman"/>
          <w:snapToGrid w:val="0"/>
          <w:sz w:val="20"/>
          <w:szCs w:val="20"/>
        </w:rPr>
        <w:t xml:space="preserve">junio de 2021 </w:t>
      </w:r>
      <w:r w:rsidR="000701CB" w:rsidRPr="005A0678">
        <w:rPr>
          <w:rFonts w:ascii="Times New Roman" w:hAnsi="Times New Roman" w:cs="Times New Roman"/>
          <w:snapToGrid w:val="0"/>
          <w:sz w:val="20"/>
          <w:szCs w:val="20"/>
        </w:rPr>
        <w:t>(el “</w:t>
      </w:r>
      <w:r w:rsidR="000701CB" w:rsidRPr="00892830">
        <w:rPr>
          <w:rFonts w:ascii="Times New Roman" w:hAnsi="Times New Roman" w:cs="Times New Roman"/>
          <w:snapToGrid w:val="0"/>
          <w:sz w:val="20"/>
          <w:szCs w:val="20"/>
          <w:u w:val="single"/>
        </w:rPr>
        <w:t>Suplemento de Prospecto</w:t>
      </w:r>
      <w:r w:rsidR="000701CB" w:rsidRPr="005A0678">
        <w:rPr>
          <w:rFonts w:ascii="Times New Roman" w:hAnsi="Times New Roman" w:cs="Times New Roman"/>
          <w:snapToGrid w:val="0"/>
          <w:sz w:val="20"/>
          <w:szCs w:val="20"/>
        </w:rPr>
        <w:t>”)</w:t>
      </w:r>
      <w:r w:rsidR="000701CB">
        <w:rPr>
          <w:rFonts w:ascii="Times New Roman" w:hAnsi="Times New Roman" w:cs="Times New Roman"/>
          <w:snapToGrid w:val="0"/>
          <w:sz w:val="20"/>
          <w:szCs w:val="20"/>
        </w:rPr>
        <w:t>; (i</w:t>
      </w:r>
      <w:r w:rsidR="00E366D8">
        <w:rPr>
          <w:rFonts w:ascii="Times New Roman" w:hAnsi="Times New Roman" w:cs="Times New Roman"/>
          <w:snapToGrid w:val="0"/>
          <w:sz w:val="20"/>
          <w:szCs w:val="20"/>
        </w:rPr>
        <w:t>ii</w:t>
      </w:r>
      <w:r w:rsidR="000701CB">
        <w:rPr>
          <w:rFonts w:ascii="Times New Roman" w:hAnsi="Times New Roman" w:cs="Times New Roman"/>
          <w:snapToGrid w:val="0"/>
          <w:sz w:val="20"/>
          <w:szCs w:val="20"/>
        </w:rPr>
        <w:t>)</w:t>
      </w:r>
      <w:r w:rsidR="00E366D8">
        <w:rPr>
          <w:rFonts w:ascii="Times New Roman" w:hAnsi="Times New Roman" w:cs="Times New Roman"/>
          <w:snapToGrid w:val="0"/>
          <w:sz w:val="20"/>
          <w:szCs w:val="20"/>
        </w:rPr>
        <w:t xml:space="preserve"> </w:t>
      </w:r>
      <w:r w:rsidRPr="005A0678">
        <w:rPr>
          <w:rFonts w:ascii="Times New Roman" w:hAnsi="Times New Roman" w:cs="Times New Roman"/>
          <w:snapToGrid w:val="0"/>
          <w:sz w:val="20"/>
          <w:szCs w:val="20"/>
        </w:rPr>
        <w:t>aviso de suscripción</w:t>
      </w:r>
      <w:r w:rsidR="00C62553" w:rsidRPr="000E775C">
        <w:t xml:space="preserve"> </w:t>
      </w:r>
      <w:r w:rsidR="00C62553">
        <w:rPr>
          <w:rFonts w:ascii="Times New Roman" w:hAnsi="Times New Roman" w:cs="Times New Roman"/>
          <w:snapToGrid w:val="0"/>
          <w:sz w:val="20"/>
          <w:szCs w:val="20"/>
        </w:rPr>
        <w:t>de fecha 11</w:t>
      </w:r>
      <w:r w:rsidR="00C62553" w:rsidRPr="00C62553">
        <w:rPr>
          <w:rFonts w:ascii="Times New Roman" w:hAnsi="Times New Roman" w:cs="Times New Roman"/>
          <w:snapToGrid w:val="0"/>
          <w:sz w:val="20"/>
          <w:szCs w:val="20"/>
        </w:rPr>
        <w:t xml:space="preserve"> de junio de 2021</w:t>
      </w:r>
      <w:r w:rsidRPr="005A0678">
        <w:rPr>
          <w:rFonts w:ascii="Times New Roman" w:hAnsi="Times New Roman" w:cs="Times New Roman"/>
          <w:snapToGrid w:val="0"/>
          <w:sz w:val="20"/>
          <w:szCs w:val="20"/>
        </w:rPr>
        <w:t xml:space="preserve"> (el “</w:t>
      </w:r>
      <w:r w:rsidRPr="00892830">
        <w:rPr>
          <w:rFonts w:ascii="Times New Roman" w:hAnsi="Times New Roman" w:cs="Times New Roman"/>
          <w:snapToGrid w:val="0"/>
          <w:sz w:val="20"/>
          <w:szCs w:val="20"/>
          <w:u w:val="single"/>
        </w:rPr>
        <w:t>Aviso de Suscripción</w:t>
      </w:r>
      <w:r w:rsidRPr="005A0678">
        <w:rPr>
          <w:rFonts w:ascii="Times New Roman" w:hAnsi="Times New Roman" w:cs="Times New Roman"/>
          <w:snapToGrid w:val="0"/>
          <w:sz w:val="20"/>
          <w:szCs w:val="20"/>
        </w:rPr>
        <w:t>”)</w:t>
      </w:r>
      <w:r w:rsidR="000701CB">
        <w:rPr>
          <w:rFonts w:ascii="Times New Roman" w:hAnsi="Times New Roman" w:cs="Times New Roman"/>
          <w:snapToGrid w:val="0"/>
          <w:sz w:val="20"/>
          <w:szCs w:val="20"/>
        </w:rPr>
        <w:t>;</w:t>
      </w:r>
      <w:r w:rsidR="00E366D8" w:rsidRPr="00E366D8">
        <w:rPr>
          <w:rFonts w:ascii="Times New Roman" w:hAnsi="Times New Roman" w:cs="Times New Roman"/>
          <w:snapToGrid w:val="0"/>
          <w:sz w:val="20"/>
          <w:szCs w:val="20"/>
        </w:rPr>
        <w:t xml:space="preserve"> </w:t>
      </w:r>
      <w:r w:rsidR="00E366D8">
        <w:rPr>
          <w:rFonts w:ascii="Times New Roman" w:hAnsi="Times New Roman" w:cs="Times New Roman"/>
          <w:snapToGrid w:val="0"/>
          <w:sz w:val="20"/>
          <w:szCs w:val="20"/>
        </w:rPr>
        <w:t>(iv) aviso complementario de fecha 15 de junio de 2021 (el “</w:t>
      </w:r>
      <w:r w:rsidR="00E366D8">
        <w:rPr>
          <w:rFonts w:ascii="Times New Roman" w:hAnsi="Times New Roman" w:cs="Times New Roman"/>
          <w:snapToGrid w:val="0"/>
          <w:sz w:val="20"/>
          <w:szCs w:val="20"/>
          <w:u w:val="single"/>
        </w:rPr>
        <w:t>Aviso Complementario</w:t>
      </w:r>
      <w:r w:rsidR="00E366D8">
        <w:rPr>
          <w:rFonts w:ascii="Times New Roman" w:hAnsi="Times New Roman" w:cs="Times New Roman"/>
          <w:snapToGrid w:val="0"/>
          <w:sz w:val="20"/>
          <w:szCs w:val="20"/>
        </w:rPr>
        <w:t>”);</w:t>
      </w:r>
      <w:r w:rsidR="00B8242D">
        <w:rPr>
          <w:rFonts w:ascii="Times New Roman" w:hAnsi="Times New Roman" w:cs="Times New Roman"/>
          <w:snapToGrid w:val="0"/>
          <w:sz w:val="20"/>
          <w:szCs w:val="20"/>
        </w:rPr>
        <w:t xml:space="preserve"> </w:t>
      </w:r>
      <w:r w:rsidR="00E366D8">
        <w:rPr>
          <w:rFonts w:ascii="Times New Roman" w:hAnsi="Times New Roman" w:cs="Times New Roman"/>
          <w:snapToGrid w:val="0"/>
          <w:sz w:val="20"/>
          <w:szCs w:val="20"/>
        </w:rPr>
        <w:t>(v)</w:t>
      </w:r>
      <w:r w:rsidR="00E366D8" w:rsidRPr="00C62553">
        <w:rPr>
          <w:rFonts w:ascii="Times New Roman" w:hAnsi="Times New Roman" w:cs="Times New Roman"/>
          <w:snapToGrid w:val="0"/>
          <w:sz w:val="20"/>
          <w:szCs w:val="20"/>
        </w:rPr>
        <w:t xml:space="preserve"> adenda al suplemento de prospecto y al aviso de suscripción de fecha 29 de junio de 2021 (la “</w:t>
      </w:r>
      <w:r w:rsidR="00E366D8" w:rsidRPr="000701CB">
        <w:rPr>
          <w:rFonts w:ascii="Times New Roman" w:hAnsi="Times New Roman" w:cs="Times New Roman"/>
          <w:snapToGrid w:val="0"/>
          <w:sz w:val="20"/>
          <w:szCs w:val="20"/>
          <w:u w:val="single"/>
        </w:rPr>
        <w:t>Adenda</w:t>
      </w:r>
      <w:r w:rsidR="00E366D8" w:rsidRPr="00C62553">
        <w:rPr>
          <w:rFonts w:ascii="Times New Roman" w:hAnsi="Times New Roman" w:cs="Times New Roman"/>
          <w:snapToGrid w:val="0"/>
          <w:sz w:val="20"/>
          <w:szCs w:val="20"/>
        </w:rPr>
        <w:t>”)</w:t>
      </w:r>
      <w:r w:rsidR="00E366D8">
        <w:rPr>
          <w:rFonts w:ascii="Times New Roman" w:hAnsi="Times New Roman" w:cs="Times New Roman"/>
          <w:snapToGrid w:val="0"/>
          <w:sz w:val="20"/>
          <w:szCs w:val="20"/>
        </w:rPr>
        <w:t>;</w:t>
      </w:r>
      <w:r w:rsidR="00DD6ED2" w:rsidRPr="005A0678">
        <w:rPr>
          <w:rFonts w:ascii="Times New Roman" w:hAnsi="Times New Roman" w:cs="Times New Roman"/>
          <w:snapToGrid w:val="0"/>
          <w:sz w:val="20"/>
          <w:szCs w:val="20"/>
        </w:rPr>
        <w:t xml:space="preserve"> </w:t>
      </w:r>
      <w:r w:rsidR="00880EF0">
        <w:rPr>
          <w:rFonts w:ascii="Times New Roman" w:hAnsi="Times New Roman" w:cs="Times New Roman"/>
          <w:snapToGrid w:val="0"/>
          <w:sz w:val="20"/>
          <w:szCs w:val="20"/>
        </w:rPr>
        <w:t xml:space="preserve">y </w:t>
      </w:r>
      <w:r w:rsidR="000701CB">
        <w:rPr>
          <w:rFonts w:ascii="Times New Roman" w:hAnsi="Times New Roman" w:cs="Times New Roman"/>
          <w:snapToGrid w:val="0"/>
          <w:sz w:val="20"/>
          <w:szCs w:val="20"/>
        </w:rPr>
        <w:t xml:space="preserve">(vi) </w:t>
      </w:r>
      <w:r w:rsidR="00C62553">
        <w:rPr>
          <w:rFonts w:ascii="Times New Roman" w:hAnsi="Times New Roman" w:cs="Times New Roman"/>
          <w:snapToGrid w:val="0"/>
          <w:sz w:val="20"/>
          <w:szCs w:val="20"/>
        </w:rPr>
        <w:t>hecho relevante</w:t>
      </w:r>
      <w:r w:rsidR="00880EF0">
        <w:rPr>
          <w:rFonts w:ascii="Times New Roman" w:hAnsi="Times New Roman" w:cs="Times New Roman"/>
          <w:snapToGrid w:val="0"/>
          <w:sz w:val="20"/>
          <w:szCs w:val="20"/>
        </w:rPr>
        <w:t xml:space="preserve"> </w:t>
      </w:r>
      <w:r w:rsidR="00C62553" w:rsidRPr="00C62553">
        <w:rPr>
          <w:rFonts w:ascii="Times New Roman" w:hAnsi="Times New Roman" w:cs="Times New Roman"/>
          <w:snapToGrid w:val="0"/>
          <w:sz w:val="20"/>
          <w:szCs w:val="20"/>
        </w:rPr>
        <w:t>#2764599</w:t>
      </w:r>
      <w:r w:rsidR="000701CB">
        <w:rPr>
          <w:rFonts w:ascii="Times New Roman" w:hAnsi="Times New Roman" w:cs="Times New Roman"/>
          <w:snapToGrid w:val="0"/>
          <w:sz w:val="20"/>
          <w:szCs w:val="20"/>
        </w:rPr>
        <w:t xml:space="preserve"> </w:t>
      </w:r>
      <w:r w:rsidR="00E366D8">
        <w:rPr>
          <w:rFonts w:ascii="Times New Roman" w:hAnsi="Times New Roman" w:cs="Times New Roman"/>
          <w:snapToGrid w:val="0"/>
          <w:sz w:val="20"/>
          <w:szCs w:val="20"/>
        </w:rPr>
        <w:t xml:space="preserve">de fecha 29 de junio de 2021 </w:t>
      </w:r>
      <w:r w:rsidR="000701CB">
        <w:rPr>
          <w:rFonts w:ascii="Times New Roman" w:hAnsi="Times New Roman" w:cs="Times New Roman"/>
          <w:snapToGrid w:val="0"/>
          <w:sz w:val="20"/>
          <w:szCs w:val="20"/>
        </w:rPr>
        <w:t>(el “</w:t>
      </w:r>
      <w:r w:rsidR="000701CB" w:rsidRPr="000701CB">
        <w:rPr>
          <w:rFonts w:ascii="Times New Roman" w:hAnsi="Times New Roman" w:cs="Times New Roman"/>
          <w:snapToGrid w:val="0"/>
          <w:sz w:val="20"/>
          <w:szCs w:val="20"/>
          <w:u w:val="single"/>
        </w:rPr>
        <w:t>Hecho Relevante</w:t>
      </w:r>
      <w:r w:rsidR="000701CB">
        <w:rPr>
          <w:rFonts w:ascii="Times New Roman" w:hAnsi="Times New Roman" w:cs="Times New Roman"/>
          <w:snapToGrid w:val="0"/>
          <w:sz w:val="20"/>
          <w:szCs w:val="20"/>
        </w:rPr>
        <w:t>”)</w:t>
      </w:r>
      <w:r w:rsidR="00C62553">
        <w:rPr>
          <w:rFonts w:ascii="Times New Roman" w:hAnsi="Times New Roman" w:cs="Times New Roman"/>
          <w:snapToGrid w:val="0"/>
          <w:sz w:val="20"/>
          <w:szCs w:val="20"/>
        </w:rPr>
        <w:t>,</w:t>
      </w:r>
      <w:r w:rsidR="00880EF0">
        <w:rPr>
          <w:rFonts w:ascii="Times New Roman" w:hAnsi="Times New Roman" w:cs="Times New Roman"/>
          <w:snapToGrid w:val="0"/>
          <w:sz w:val="20"/>
          <w:szCs w:val="20"/>
        </w:rPr>
        <w:t xml:space="preserve"> </w:t>
      </w:r>
      <w:r w:rsidR="006A4B87">
        <w:rPr>
          <w:rFonts w:ascii="Times New Roman" w:hAnsi="Times New Roman" w:cs="Times New Roman"/>
          <w:snapToGrid w:val="0"/>
          <w:sz w:val="20"/>
          <w:szCs w:val="20"/>
        </w:rPr>
        <w:t>publicado</w:t>
      </w:r>
      <w:r w:rsidR="00FF0037">
        <w:rPr>
          <w:rFonts w:ascii="Times New Roman" w:hAnsi="Times New Roman" w:cs="Times New Roman"/>
          <w:snapToGrid w:val="0"/>
          <w:sz w:val="20"/>
          <w:szCs w:val="20"/>
        </w:rPr>
        <w:t>s</w:t>
      </w:r>
      <w:r w:rsidR="00AA6836" w:rsidRPr="005A0678">
        <w:rPr>
          <w:rFonts w:ascii="Times New Roman" w:hAnsi="Times New Roman" w:cs="Times New Roman"/>
          <w:snapToGrid w:val="0"/>
          <w:sz w:val="20"/>
          <w:szCs w:val="20"/>
        </w:rPr>
        <w:t xml:space="preserve"> </w:t>
      </w:r>
      <w:r w:rsidR="006B634A">
        <w:rPr>
          <w:rFonts w:ascii="Times New Roman" w:hAnsi="Times New Roman" w:cs="Times New Roman"/>
          <w:snapToGrid w:val="0"/>
          <w:sz w:val="20"/>
          <w:szCs w:val="20"/>
        </w:rPr>
        <w:t>en las mencionadas fechas</w:t>
      </w:r>
      <w:r w:rsidR="006A4B87">
        <w:rPr>
          <w:rFonts w:ascii="Times New Roman" w:hAnsi="Times New Roman" w:cs="Times New Roman"/>
          <w:snapToGrid w:val="0"/>
          <w:sz w:val="20"/>
          <w:szCs w:val="20"/>
        </w:rPr>
        <w:t xml:space="preserve"> </w:t>
      </w:r>
      <w:r w:rsidR="006A4B87" w:rsidRPr="00A663C9">
        <w:rPr>
          <w:rFonts w:ascii="Times New Roman" w:hAnsi="Times New Roman" w:cs="Times New Roman"/>
          <w:snapToGrid w:val="0"/>
          <w:sz w:val="20"/>
          <w:szCs w:val="20"/>
        </w:rPr>
        <w:t>en el Boletín Diario de la BCBA, en la Página Web de la CNV bajo el ítem “Empresas”</w:t>
      </w:r>
      <w:r w:rsidR="006A4B87">
        <w:rPr>
          <w:rFonts w:ascii="Times New Roman" w:hAnsi="Times New Roman" w:cs="Times New Roman"/>
          <w:snapToGrid w:val="0"/>
          <w:sz w:val="20"/>
          <w:szCs w:val="20"/>
        </w:rPr>
        <w:t>,</w:t>
      </w:r>
      <w:r w:rsidR="006A4B87" w:rsidRPr="00A663C9">
        <w:rPr>
          <w:rFonts w:ascii="Times New Roman" w:hAnsi="Times New Roman" w:cs="Times New Roman"/>
          <w:snapToGrid w:val="0"/>
          <w:sz w:val="20"/>
          <w:szCs w:val="20"/>
        </w:rPr>
        <w:t xml:space="preserve"> en la Página Web del MAE</w:t>
      </w:r>
      <w:r w:rsidR="006A4B87" w:rsidRPr="008E71BB">
        <w:rPr>
          <w:rFonts w:ascii="Times New Roman" w:hAnsi="Times New Roman" w:cs="Times New Roman"/>
          <w:snapToGrid w:val="0"/>
          <w:sz w:val="20"/>
          <w:szCs w:val="20"/>
        </w:rPr>
        <w:t xml:space="preserve"> y en el sitio de </w:t>
      </w:r>
      <w:r w:rsidR="006A4B87">
        <w:rPr>
          <w:rFonts w:ascii="Times New Roman" w:hAnsi="Times New Roman" w:cs="Times New Roman"/>
          <w:snapToGrid w:val="0"/>
          <w:sz w:val="20"/>
          <w:szCs w:val="20"/>
        </w:rPr>
        <w:t>i</w:t>
      </w:r>
      <w:r w:rsidR="006A4B87" w:rsidRPr="008E71BB">
        <w:rPr>
          <w:rFonts w:ascii="Times New Roman" w:hAnsi="Times New Roman" w:cs="Times New Roman"/>
          <w:snapToGrid w:val="0"/>
          <w:sz w:val="20"/>
          <w:szCs w:val="20"/>
        </w:rPr>
        <w:t>nternet de la Compañía:</w:t>
      </w:r>
      <w:r w:rsidR="006A4B87">
        <w:rPr>
          <w:rFonts w:ascii="Times New Roman" w:hAnsi="Times New Roman" w:cs="Times New Roman"/>
          <w:snapToGrid w:val="0"/>
          <w:sz w:val="20"/>
          <w:szCs w:val="20"/>
        </w:rPr>
        <w:t xml:space="preserve"> </w:t>
      </w:r>
      <w:hyperlink r:id="rId10" w:history="1">
        <w:r w:rsidR="006A4B87" w:rsidRPr="00DB6B54">
          <w:rPr>
            <w:rStyle w:val="Hyperlink"/>
            <w:rFonts w:ascii="Times New Roman" w:hAnsi="Times New Roman" w:cs="Times New Roman"/>
            <w:sz w:val="20"/>
            <w:szCs w:val="20"/>
          </w:rPr>
          <w:t>www.cresud.com.ar</w:t>
        </w:r>
      </w:hyperlink>
      <w:r w:rsidR="000701CB" w:rsidRPr="00E366D8">
        <w:rPr>
          <w:rFonts w:ascii="Times New Roman" w:eastAsia="Times New Roman" w:hAnsi="Times New Roman"/>
          <w:sz w:val="20"/>
          <w:szCs w:val="20"/>
          <w:lang w:eastAsia="es-ES"/>
        </w:rPr>
        <w:t>,</w:t>
      </w:r>
      <w:r w:rsidR="006A4B87">
        <w:rPr>
          <w:rFonts w:ascii="Times New Roman" w:eastAsia="Times New Roman" w:hAnsi="Times New Roman"/>
          <w:sz w:val="20"/>
          <w:szCs w:val="20"/>
          <w:lang w:eastAsia="es-ES"/>
        </w:rPr>
        <w:t xml:space="preserve"> </w:t>
      </w:r>
      <w:r w:rsidR="006A7CC8">
        <w:rPr>
          <w:rFonts w:ascii="Times New Roman" w:eastAsia="Times New Roman" w:hAnsi="Times New Roman"/>
          <w:sz w:val="20"/>
          <w:szCs w:val="20"/>
          <w:lang w:eastAsia="es-ES"/>
        </w:rPr>
        <w:t>con relación a oferta de</w:t>
      </w:r>
      <w:r w:rsidR="00AA6836" w:rsidRPr="005A0678">
        <w:rPr>
          <w:rFonts w:ascii="Times New Roman" w:hAnsi="Times New Roman" w:cs="Times New Roman"/>
          <w:snapToGrid w:val="0"/>
          <w:sz w:val="20"/>
          <w:szCs w:val="20"/>
        </w:rPr>
        <w:t xml:space="preserve"> canje </w:t>
      </w:r>
      <w:r w:rsidR="00E366D8">
        <w:rPr>
          <w:rFonts w:ascii="Times New Roman" w:hAnsi="Times New Roman" w:cs="Times New Roman"/>
          <w:snapToGrid w:val="0"/>
          <w:sz w:val="20"/>
          <w:szCs w:val="20"/>
        </w:rPr>
        <w:t>de las</w:t>
      </w:r>
      <w:r w:rsidR="00AA6836" w:rsidRPr="005A0678">
        <w:rPr>
          <w:rFonts w:ascii="Times New Roman" w:hAnsi="Times New Roman" w:cs="Times New Roman"/>
          <w:snapToGrid w:val="0"/>
          <w:sz w:val="20"/>
          <w:szCs w:val="20"/>
        </w:rPr>
        <w:t xml:space="preserve"> Obligaciones Negociables Existentes </w:t>
      </w:r>
      <w:r w:rsidR="006A7CC8">
        <w:rPr>
          <w:rFonts w:ascii="Times New Roman" w:hAnsi="Times New Roman" w:cs="Times New Roman"/>
          <w:snapToGrid w:val="0"/>
          <w:sz w:val="20"/>
          <w:szCs w:val="20"/>
        </w:rPr>
        <w:t>y la emisión de las Obligaciones Negociables Clase XXXIII</w:t>
      </w:r>
      <w:r w:rsidR="002E6B8E">
        <w:rPr>
          <w:rFonts w:ascii="Times New Roman" w:hAnsi="Times New Roman" w:cs="Times New Roman"/>
          <w:snapToGrid w:val="0"/>
          <w:sz w:val="20"/>
          <w:szCs w:val="20"/>
        </w:rPr>
        <w:t xml:space="preserve"> </w:t>
      </w:r>
      <w:r w:rsidR="006A7CC8" w:rsidRPr="005A0678">
        <w:rPr>
          <w:rFonts w:ascii="Times New Roman" w:hAnsi="Times New Roman" w:cs="Times New Roman"/>
          <w:snapToGrid w:val="0"/>
          <w:sz w:val="20"/>
          <w:szCs w:val="20"/>
        </w:rPr>
        <w:t>(la “</w:t>
      </w:r>
      <w:r w:rsidR="006A7CC8" w:rsidRPr="00892830">
        <w:rPr>
          <w:rFonts w:ascii="Times New Roman" w:hAnsi="Times New Roman" w:cs="Times New Roman"/>
          <w:snapToGrid w:val="0"/>
          <w:sz w:val="20"/>
          <w:szCs w:val="20"/>
          <w:u w:val="single"/>
        </w:rPr>
        <w:t>Oferta de Canje</w:t>
      </w:r>
      <w:r w:rsidR="006A7CC8" w:rsidRPr="005A0678">
        <w:rPr>
          <w:rFonts w:ascii="Times New Roman" w:hAnsi="Times New Roman" w:cs="Times New Roman"/>
          <w:snapToGrid w:val="0"/>
          <w:sz w:val="20"/>
          <w:szCs w:val="20"/>
        </w:rPr>
        <w:t xml:space="preserve">” o </w:t>
      </w:r>
      <w:r w:rsidR="00E366D8">
        <w:rPr>
          <w:rFonts w:ascii="Times New Roman" w:hAnsi="Times New Roman" w:cs="Times New Roman"/>
          <w:snapToGrid w:val="0"/>
          <w:sz w:val="20"/>
          <w:szCs w:val="20"/>
        </w:rPr>
        <w:t xml:space="preserve">el </w:t>
      </w:r>
      <w:r w:rsidR="006A7CC8" w:rsidRPr="005A0678">
        <w:rPr>
          <w:rFonts w:ascii="Times New Roman" w:hAnsi="Times New Roman" w:cs="Times New Roman"/>
          <w:snapToGrid w:val="0"/>
          <w:sz w:val="20"/>
          <w:szCs w:val="20"/>
        </w:rPr>
        <w:t>“</w:t>
      </w:r>
      <w:r w:rsidR="006A7CC8" w:rsidRPr="00892830">
        <w:rPr>
          <w:rFonts w:ascii="Times New Roman" w:hAnsi="Times New Roman" w:cs="Times New Roman"/>
          <w:snapToGrid w:val="0"/>
          <w:sz w:val="20"/>
          <w:szCs w:val="20"/>
          <w:u w:val="single"/>
        </w:rPr>
        <w:t>Canje</w:t>
      </w:r>
      <w:r w:rsidR="006A7CC8" w:rsidRPr="005A0678">
        <w:rPr>
          <w:rFonts w:ascii="Times New Roman" w:hAnsi="Times New Roman" w:cs="Times New Roman"/>
          <w:snapToGrid w:val="0"/>
          <w:sz w:val="20"/>
          <w:szCs w:val="20"/>
        </w:rPr>
        <w:t>”)</w:t>
      </w:r>
      <w:r w:rsidR="00AA6836" w:rsidRPr="005A0678">
        <w:rPr>
          <w:rFonts w:ascii="Times New Roman" w:hAnsi="Times New Roman" w:cs="Times New Roman"/>
          <w:snapToGrid w:val="0"/>
          <w:sz w:val="20"/>
          <w:szCs w:val="20"/>
        </w:rPr>
        <w:t xml:space="preserve">. </w:t>
      </w:r>
    </w:p>
    <w:p w14:paraId="7FBB74E1" w14:textId="55560029" w:rsidR="006A4B87" w:rsidRDefault="006A4B87" w:rsidP="006A4B87">
      <w:pPr>
        <w:spacing w:before="120" w:after="120"/>
        <w:jc w:val="both"/>
        <w:rPr>
          <w:rFonts w:ascii="Times New Roman" w:hAnsi="Times New Roman" w:cs="Times New Roman"/>
          <w:snapToGrid w:val="0"/>
          <w:sz w:val="20"/>
          <w:szCs w:val="20"/>
        </w:rPr>
      </w:pPr>
      <w:r w:rsidRPr="00CC7A46">
        <w:rPr>
          <w:rFonts w:ascii="Times New Roman" w:hAnsi="Times New Roman" w:cs="Times New Roman"/>
          <w:snapToGrid w:val="0"/>
          <w:sz w:val="20"/>
          <w:szCs w:val="20"/>
        </w:rPr>
        <w:t>Todos los términos utilizados en mayúscula no definidos en el presente aviso, tendrán el significado que se les asigna en el Prospecto y/o en el Suplemento de Prospecto y/o en el Aviso de Suscripción</w:t>
      </w:r>
      <w:r w:rsidR="002F4078">
        <w:rPr>
          <w:rFonts w:ascii="Times New Roman" w:hAnsi="Times New Roman" w:cs="Times New Roman"/>
          <w:snapToGrid w:val="0"/>
          <w:sz w:val="20"/>
          <w:szCs w:val="20"/>
        </w:rPr>
        <w:t xml:space="preserve"> y/o en el Aviso Complementario y/o en la Adenda</w:t>
      </w:r>
      <w:r w:rsidRPr="00CC7A46">
        <w:rPr>
          <w:rFonts w:ascii="Times New Roman" w:hAnsi="Times New Roman" w:cs="Times New Roman"/>
          <w:snapToGrid w:val="0"/>
          <w:sz w:val="20"/>
          <w:szCs w:val="20"/>
        </w:rPr>
        <w:t>, según corresponda.</w:t>
      </w:r>
    </w:p>
    <w:p w14:paraId="771BC4E6" w14:textId="1E7F32BC" w:rsidR="00D623DC" w:rsidRPr="002F4078" w:rsidRDefault="00A67569" w:rsidP="00A67569">
      <w:pPr>
        <w:widowControl w:val="0"/>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jc w:val="both"/>
        <w:rPr>
          <w:rFonts w:ascii="Times New Roman" w:hAnsi="Times New Roman"/>
          <w:sz w:val="20"/>
        </w:rPr>
      </w:pPr>
      <w:r w:rsidRPr="00A67569">
        <w:rPr>
          <w:rFonts w:ascii="Times New Roman" w:hAnsi="Times New Roman"/>
          <w:sz w:val="20"/>
        </w:rPr>
        <w:t>Al respecto, habiendo finalizado el Período Para Participar de la Oferta de Canje</w:t>
      </w:r>
      <w:r w:rsidR="002F4078">
        <w:rPr>
          <w:rFonts w:ascii="Times New Roman" w:hAnsi="Times New Roman"/>
          <w:sz w:val="20"/>
        </w:rPr>
        <w:t xml:space="preserve"> y el </w:t>
      </w:r>
      <w:r w:rsidR="002F4078" w:rsidRPr="002F4078">
        <w:rPr>
          <w:rFonts w:ascii="Times New Roman" w:hAnsi="Times New Roman"/>
          <w:sz w:val="20"/>
        </w:rPr>
        <w:t>Período adicional para retirar Ofertas suscriptas bajo la Opción Par</w:t>
      </w:r>
      <w:r w:rsidR="006A7CC8">
        <w:rPr>
          <w:rFonts w:ascii="Times New Roman" w:hAnsi="Times New Roman"/>
          <w:sz w:val="20"/>
        </w:rPr>
        <w:t xml:space="preserve">, </w:t>
      </w:r>
      <w:r w:rsidR="00E366D8">
        <w:rPr>
          <w:rFonts w:ascii="Times New Roman" w:hAnsi="Times New Roman"/>
          <w:sz w:val="20"/>
        </w:rPr>
        <w:t xml:space="preserve">a continuación </w:t>
      </w:r>
      <w:r w:rsidRPr="00A67569">
        <w:rPr>
          <w:rFonts w:ascii="Times New Roman" w:hAnsi="Times New Roman"/>
          <w:sz w:val="20"/>
        </w:rPr>
        <w:t xml:space="preserve">se informan los resultados de la </w:t>
      </w:r>
      <w:r w:rsidR="00434E0D">
        <w:rPr>
          <w:rFonts w:ascii="Times New Roman" w:hAnsi="Times New Roman"/>
          <w:sz w:val="20"/>
        </w:rPr>
        <w:t>Oferta de Canje</w:t>
      </w:r>
      <w:r w:rsidRPr="00A67569">
        <w:rPr>
          <w:rFonts w:ascii="Times New Roman" w:hAnsi="Times New Roman"/>
          <w:sz w:val="20"/>
        </w:rPr>
        <w:t>:</w:t>
      </w:r>
    </w:p>
    <w:p w14:paraId="5BBCA2DE" w14:textId="0EF734C1" w:rsidR="00A67569" w:rsidRPr="00A67569" w:rsidRDefault="00A67569" w:rsidP="00253379">
      <w:pPr>
        <w:widowControl w:val="0"/>
        <w:numPr>
          <w:ilvl w:val="0"/>
          <w:numId w:val="9"/>
        </w:numPr>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contextualSpacing/>
        <w:jc w:val="both"/>
        <w:rPr>
          <w:rFonts w:ascii="Times New Roman" w:hAnsi="Times New Roman"/>
          <w:sz w:val="20"/>
        </w:rPr>
      </w:pPr>
      <w:r w:rsidRPr="00A67569">
        <w:rPr>
          <w:rFonts w:ascii="Times New Roman" w:hAnsi="Times New Roman"/>
          <w:b/>
          <w:bCs/>
          <w:sz w:val="20"/>
        </w:rPr>
        <w:lastRenderedPageBreak/>
        <w:t xml:space="preserve">Valor Nominal de Obligaciones Negociables Existentes presentadas y aceptadas al Canje: </w:t>
      </w:r>
      <w:r w:rsidRPr="00A67569">
        <w:rPr>
          <w:rFonts w:ascii="Times New Roman" w:hAnsi="Times New Roman"/>
          <w:sz w:val="20"/>
        </w:rPr>
        <w:t>USD</w:t>
      </w:r>
      <w:r w:rsidR="0036560A" w:rsidRPr="0036560A">
        <w:rPr>
          <w:rFonts w:ascii="Times New Roman" w:hAnsi="Times New Roman"/>
          <w:sz w:val="20"/>
        </w:rPr>
        <w:t xml:space="preserve"> </w:t>
      </w:r>
      <w:r w:rsidR="00FF4947" w:rsidRPr="00715ED9">
        <w:rPr>
          <w:rFonts w:ascii="Times New Roman" w:hAnsi="Times New Roman"/>
          <w:sz w:val="20"/>
        </w:rPr>
        <w:t>18.797.690</w:t>
      </w:r>
      <w:r w:rsidR="00B8242D" w:rsidRPr="00A67569">
        <w:rPr>
          <w:rFonts w:ascii="Times New Roman" w:hAnsi="Times New Roman"/>
          <w:sz w:val="20"/>
        </w:rPr>
        <w:t xml:space="preserve"> </w:t>
      </w:r>
      <w:r w:rsidR="0036560A" w:rsidRPr="00A67569">
        <w:rPr>
          <w:rFonts w:ascii="Times New Roman" w:hAnsi="Times New Roman"/>
          <w:sz w:val="20"/>
        </w:rPr>
        <w:t>(Dólares Estadounidenses</w:t>
      </w:r>
      <w:r w:rsidR="00FF4947">
        <w:rPr>
          <w:rFonts w:ascii="Times New Roman" w:hAnsi="Times New Roman"/>
          <w:sz w:val="20"/>
        </w:rPr>
        <w:t xml:space="preserve"> dieciocho millones setecientos noventa y siete mil seiscientos noventa</w:t>
      </w:r>
      <w:r w:rsidR="0036560A" w:rsidRPr="00A67569">
        <w:rPr>
          <w:rFonts w:ascii="Times New Roman" w:hAnsi="Times New Roman"/>
          <w:sz w:val="20"/>
        </w:rPr>
        <w:t>)</w:t>
      </w:r>
      <w:r w:rsidR="00FF4947">
        <w:rPr>
          <w:rFonts w:ascii="Times New Roman" w:hAnsi="Times New Roman"/>
          <w:sz w:val="20"/>
        </w:rPr>
        <w:t xml:space="preserve">, de los cuales </w:t>
      </w:r>
      <w:r w:rsidR="00253379">
        <w:rPr>
          <w:rFonts w:ascii="Times New Roman" w:hAnsi="Times New Roman"/>
          <w:sz w:val="20"/>
        </w:rPr>
        <w:t xml:space="preserve">USD </w:t>
      </w:r>
      <w:r w:rsidR="00253379" w:rsidRPr="00253379">
        <w:rPr>
          <w:rFonts w:ascii="Times New Roman" w:hAnsi="Times New Roman"/>
          <w:sz w:val="20"/>
        </w:rPr>
        <w:t>18.243.151</w:t>
      </w:r>
      <w:r w:rsidR="00FF4947">
        <w:rPr>
          <w:rFonts w:ascii="Times New Roman" w:hAnsi="Times New Roman"/>
          <w:sz w:val="20"/>
        </w:rPr>
        <w:t xml:space="preserve"> </w:t>
      </w:r>
      <w:r w:rsidR="005252C1">
        <w:rPr>
          <w:rFonts w:ascii="Times New Roman" w:hAnsi="Times New Roman"/>
          <w:sz w:val="20"/>
        </w:rPr>
        <w:t>(</w:t>
      </w:r>
      <w:r w:rsidR="005252C1" w:rsidRPr="00A67569">
        <w:rPr>
          <w:rFonts w:ascii="Times New Roman" w:hAnsi="Times New Roman"/>
          <w:sz w:val="20"/>
        </w:rPr>
        <w:t>Dólares Estadounidenses</w:t>
      </w:r>
      <w:r w:rsidR="005252C1">
        <w:rPr>
          <w:rFonts w:ascii="Times New Roman" w:hAnsi="Times New Roman"/>
          <w:sz w:val="20"/>
        </w:rPr>
        <w:t xml:space="preserve"> dieciocho millones doscientos cuarenta y tres mil ciento cincuenta y uno)</w:t>
      </w:r>
      <w:r w:rsidR="005252C1">
        <w:rPr>
          <w:rFonts w:ascii="Times New Roman" w:hAnsi="Times New Roman"/>
          <w:sz w:val="20"/>
        </w:rPr>
        <w:t xml:space="preserve"> </w:t>
      </w:r>
      <w:bookmarkStart w:id="0" w:name="_GoBack"/>
      <w:bookmarkEnd w:id="0"/>
      <w:r w:rsidR="00FF4947">
        <w:rPr>
          <w:rFonts w:ascii="Times New Roman" w:hAnsi="Times New Roman"/>
          <w:sz w:val="20"/>
        </w:rPr>
        <w:t xml:space="preserve">se presentaron en o antes de </w:t>
      </w:r>
      <w:r w:rsidR="00FF4947" w:rsidRPr="00FF4947">
        <w:rPr>
          <w:rFonts w:ascii="Times New Roman" w:hAnsi="Times New Roman"/>
          <w:sz w:val="20"/>
        </w:rPr>
        <w:t>Fecha Límite para Acceder a la Contraprestación Anticipada</w:t>
      </w:r>
      <w:r w:rsidRPr="00A67569">
        <w:rPr>
          <w:rFonts w:ascii="Times New Roman" w:hAnsi="Times New Roman"/>
          <w:sz w:val="20"/>
        </w:rPr>
        <w:t>.</w:t>
      </w:r>
    </w:p>
    <w:p w14:paraId="6EC10B4B" w14:textId="553DBF71" w:rsidR="00A67569" w:rsidRDefault="00A67569" w:rsidP="00FF4947">
      <w:pPr>
        <w:widowControl w:val="0"/>
        <w:numPr>
          <w:ilvl w:val="0"/>
          <w:numId w:val="9"/>
        </w:numPr>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contextualSpacing/>
        <w:jc w:val="both"/>
        <w:rPr>
          <w:rFonts w:ascii="Times New Roman" w:hAnsi="Times New Roman"/>
          <w:sz w:val="20"/>
        </w:rPr>
      </w:pPr>
      <w:r w:rsidRPr="00A67569">
        <w:rPr>
          <w:rFonts w:ascii="Times New Roman" w:hAnsi="Times New Roman"/>
          <w:b/>
          <w:bCs/>
          <w:sz w:val="20"/>
        </w:rPr>
        <w:t xml:space="preserve">Valor Nominal a Emitirse: </w:t>
      </w:r>
      <w:r w:rsidRPr="00A67569">
        <w:rPr>
          <w:rFonts w:ascii="Times New Roman" w:hAnsi="Times New Roman"/>
          <w:sz w:val="20"/>
        </w:rPr>
        <w:t>USD</w:t>
      </w:r>
      <w:r w:rsidR="0033200C">
        <w:rPr>
          <w:rFonts w:ascii="Times New Roman" w:hAnsi="Times New Roman"/>
          <w:sz w:val="20"/>
        </w:rPr>
        <w:t xml:space="preserve"> </w:t>
      </w:r>
      <w:r w:rsidR="00FF4947" w:rsidRPr="004120DE">
        <w:rPr>
          <w:rFonts w:ascii="Times New Roman" w:hAnsi="Times New Roman"/>
          <w:sz w:val="20"/>
        </w:rPr>
        <w:t>18.797.690</w:t>
      </w:r>
      <w:r w:rsidR="00B8242D" w:rsidRPr="00A67569">
        <w:rPr>
          <w:rFonts w:ascii="Times New Roman" w:hAnsi="Times New Roman"/>
          <w:sz w:val="20"/>
        </w:rPr>
        <w:t xml:space="preserve"> </w:t>
      </w:r>
      <w:r w:rsidR="0036560A" w:rsidRPr="00A67569">
        <w:rPr>
          <w:rFonts w:ascii="Times New Roman" w:hAnsi="Times New Roman"/>
          <w:sz w:val="20"/>
        </w:rPr>
        <w:t>(Dólares Estadounidenses</w:t>
      </w:r>
      <w:r w:rsidR="00FF4947" w:rsidRPr="00FF4947">
        <w:rPr>
          <w:rFonts w:ascii="Times New Roman" w:hAnsi="Times New Roman"/>
          <w:sz w:val="20"/>
        </w:rPr>
        <w:t xml:space="preserve"> </w:t>
      </w:r>
      <w:r w:rsidR="00FF4947">
        <w:rPr>
          <w:rFonts w:ascii="Times New Roman" w:hAnsi="Times New Roman"/>
          <w:sz w:val="20"/>
        </w:rPr>
        <w:t>dieciocho millones setecientos noventa y siete mil seiscientos noventa</w:t>
      </w:r>
      <w:r w:rsidR="0036560A" w:rsidRPr="00A67569">
        <w:rPr>
          <w:rFonts w:ascii="Times New Roman" w:hAnsi="Times New Roman"/>
          <w:sz w:val="20"/>
        </w:rPr>
        <w:t>)</w:t>
      </w:r>
      <w:r w:rsidRPr="00A67569">
        <w:rPr>
          <w:rFonts w:ascii="Times New Roman" w:hAnsi="Times New Roman"/>
          <w:sz w:val="20"/>
        </w:rPr>
        <w:t>.</w:t>
      </w:r>
    </w:p>
    <w:p w14:paraId="53422898" w14:textId="3512D54A" w:rsidR="00B40AB5" w:rsidRPr="00A67569" w:rsidRDefault="00B40AB5" w:rsidP="00A67569">
      <w:pPr>
        <w:widowControl w:val="0"/>
        <w:numPr>
          <w:ilvl w:val="0"/>
          <w:numId w:val="9"/>
        </w:numPr>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contextualSpacing/>
        <w:jc w:val="both"/>
        <w:rPr>
          <w:rFonts w:ascii="Times New Roman" w:hAnsi="Times New Roman"/>
          <w:sz w:val="20"/>
        </w:rPr>
      </w:pPr>
      <w:r w:rsidRPr="00B40AB5">
        <w:rPr>
          <w:rFonts w:ascii="Times New Roman" w:hAnsi="Times New Roman"/>
          <w:b/>
          <w:bCs/>
          <w:sz w:val="20"/>
        </w:rPr>
        <w:t>Precio de Emisión:</w:t>
      </w:r>
      <w:r>
        <w:rPr>
          <w:rFonts w:ascii="Times New Roman" w:hAnsi="Times New Roman"/>
          <w:sz w:val="20"/>
        </w:rPr>
        <w:t xml:space="preserve"> 100% del valor nominal (a la par).</w:t>
      </w:r>
    </w:p>
    <w:p w14:paraId="7EDB249E" w14:textId="674DE30E" w:rsidR="00A67569" w:rsidRPr="00A67569" w:rsidRDefault="00A67569" w:rsidP="004315B9">
      <w:pPr>
        <w:widowControl w:val="0"/>
        <w:numPr>
          <w:ilvl w:val="0"/>
          <w:numId w:val="9"/>
        </w:numPr>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contextualSpacing/>
        <w:jc w:val="both"/>
        <w:rPr>
          <w:rFonts w:ascii="Times New Roman" w:hAnsi="Times New Roman"/>
          <w:sz w:val="20"/>
        </w:rPr>
      </w:pPr>
      <w:r w:rsidRPr="00A67569">
        <w:rPr>
          <w:rFonts w:ascii="Times New Roman" w:hAnsi="Times New Roman"/>
          <w:b/>
          <w:bCs/>
          <w:sz w:val="20"/>
        </w:rPr>
        <w:t xml:space="preserve">Fecha de Emisión y Liquidación: </w:t>
      </w:r>
      <w:r w:rsidR="00CC262A" w:rsidRPr="00C8459A">
        <w:rPr>
          <w:rFonts w:ascii="Times New Roman" w:hAnsi="Times New Roman"/>
          <w:bCs/>
          <w:sz w:val="20"/>
        </w:rPr>
        <w:t xml:space="preserve">Será </w:t>
      </w:r>
      <w:r w:rsidR="002F4078">
        <w:rPr>
          <w:rFonts w:ascii="Times New Roman" w:hAnsi="Times New Roman"/>
          <w:sz w:val="20"/>
        </w:rPr>
        <w:t xml:space="preserve">el </w:t>
      </w:r>
      <w:r w:rsidR="004315B9">
        <w:rPr>
          <w:rFonts w:ascii="Times New Roman" w:hAnsi="Times New Roman"/>
          <w:sz w:val="20"/>
        </w:rPr>
        <w:t>6</w:t>
      </w:r>
      <w:r w:rsidR="004315B9" w:rsidRPr="00A67569">
        <w:rPr>
          <w:rFonts w:ascii="Times New Roman" w:hAnsi="Times New Roman"/>
          <w:sz w:val="20"/>
        </w:rPr>
        <w:t xml:space="preserve"> </w:t>
      </w:r>
      <w:r w:rsidRPr="00A67569">
        <w:rPr>
          <w:rFonts w:ascii="Times New Roman" w:hAnsi="Times New Roman"/>
          <w:sz w:val="20"/>
        </w:rPr>
        <w:t xml:space="preserve">de </w:t>
      </w:r>
      <w:r w:rsidR="002F4078">
        <w:rPr>
          <w:rFonts w:ascii="Times New Roman" w:hAnsi="Times New Roman"/>
          <w:sz w:val="20"/>
        </w:rPr>
        <w:t>jul</w:t>
      </w:r>
      <w:r w:rsidR="00B8242D">
        <w:rPr>
          <w:rFonts w:ascii="Times New Roman" w:hAnsi="Times New Roman"/>
          <w:sz w:val="20"/>
        </w:rPr>
        <w:t>io</w:t>
      </w:r>
      <w:r w:rsidRPr="00A67569">
        <w:rPr>
          <w:rFonts w:ascii="Times New Roman" w:hAnsi="Times New Roman"/>
          <w:sz w:val="20"/>
        </w:rPr>
        <w:t xml:space="preserve"> de 202</w:t>
      </w:r>
      <w:r w:rsidR="00B8242D">
        <w:rPr>
          <w:rFonts w:ascii="Times New Roman" w:hAnsi="Times New Roman"/>
          <w:sz w:val="20"/>
        </w:rPr>
        <w:t>1</w:t>
      </w:r>
      <w:r w:rsidRPr="00A67569">
        <w:rPr>
          <w:rFonts w:ascii="Times New Roman" w:hAnsi="Times New Roman"/>
          <w:sz w:val="20"/>
        </w:rPr>
        <w:t>.</w:t>
      </w:r>
    </w:p>
    <w:p w14:paraId="2C4A2057" w14:textId="2B402377" w:rsidR="00A67569" w:rsidRDefault="00A67569">
      <w:pPr>
        <w:widowControl w:val="0"/>
        <w:numPr>
          <w:ilvl w:val="0"/>
          <w:numId w:val="9"/>
        </w:numPr>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contextualSpacing/>
        <w:jc w:val="both"/>
        <w:rPr>
          <w:rFonts w:ascii="Times New Roman" w:hAnsi="Times New Roman"/>
          <w:sz w:val="20"/>
        </w:rPr>
      </w:pPr>
      <w:r w:rsidRPr="00A67569">
        <w:rPr>
          <w:rFonts w:ascii="Times New Roman" w:hAnsi="Times New Roman"/>
          <w:b/>
          <w:bCs/>
          <w:sz w:val="20"/>
        </w:rPr>
        <w:t>Fecha de Vencimiento:</w:t>
      </w:r>
      <w:r w:rsidRPr="00C8459A">
        <w:rPr>
          <w:rFonts w:ascii="Times New Roman" w:hAnsi="Times New Roman"/>
          <w:bCs/>
          <w:sz w:val="20"/>
        </w:rPr>
        <w:t xml:space="preserve"> </w:t>
      </w:r>
      <w:r w:rsidR="00A866E2" w:rsidRPr="00C8459A">
        <w:rPr>
          <w:rFonts w:ascii="Times New Roman" w:hAnsi="Times New Roman"/>
          <w:bCs/>
          <w:sz w:val="20"/>
        </w:rPr>
        <w:t>Será</w:t>
      </w:r>
      <w:r w:rsidR="00A866E2">
        <w:rPr>
          <w:rFonts w:ascii="Times New Roman" w:hAnsi="Times New Roman"/>
          <w:b/>
          <w:bCs/>
          <w:sz w:val="20"/>
        </w:rPr>
        <w:t xml:space="preserve"> </w:t>
      </w:r>
      <w:r w:rsidRPr="00A67569">
        <w:rPr>
          <w:rFonts w:ascii="Times New Roman" w:hAnsi="Times New Roman"/>
          <w:sz w:val="20"/>
        </w:rPr>
        <w:t xml:space="preserve">el </w:t>
      </w:r>
      <w:r w:rsidR="004315B9">
        <w:rPr>
          <w:rFonts w:ascii="Times New Roman" w:hAnsi="Times New Roman"/>
          <w:bCs/>
          <w:sz w:val="20"/>
        </w:rPr>
        <w:t>6</w:t>
      </w:r>
      <w:r w:rsidR="004315B9" w:rsidRPr="00A67569">
        <w:rPr>
          <w:rFonts w:ascii="Times New Roman" w:hAnsi="Times New Roman"/>
          <w:sz w:val="20"/>
        </w:rPr>
        <w:t xml:space="preserve"> </w:t>
      </w:r>
      <w:r w:rsidRPr="00A67569">
        <w:rPr>
          <w:rFonts w:ascii="Times New Roman" w:hAnsi="Times New Roman"/>
          <w:sz w:val="20"/>
        </w:rPr>
        <w:t xml:space="preserve">de </w:t>
      </w:r>
      <w:r w:rsidR="002F4078">
        <w:rPr>
          <w:rFonts w:ascii="Times New Roman" w:hAnsi="Times New Roman"/>
          <w:bCs/>
          <w:sz w:val="20"/>
        </w:rPr>
        <w:t>jul</w:t>
      </w:r>
      <w:r w:rsidR="00B8242D" w:rsidRPr="00B8242D">
        <w:rPr>
          <w:rFonts w:ascii="Times New Roman" w:hAnsi="Times New Roman"/>
          <w:bCs/>
          <w:sz w:val="20"/>
        </w:rPr>
        <w:t>io</w:t>
      </w:r>
      <w:r w:rsidR="00B8242D">
        <w:rPr>
          <w:rFonts w:ascii="Times New Roman" w:hAnsi="Times New Roman"/>
          <w:sz w:val="20"/>
        </w:rPr>
        <w:t xml:space="preserve"> de 2024</w:t>
      </w:r>
      <w:r w:rsidRPr="00A67569">
        <w:rPr>
          <w:rFonts w:ascii="Times New Roman" w:hAnsi="Times New Roman"/>
          <w:sz w:val="20"/>
        </w:rPr>
        <w:t xml:space="preserve">. Si la Fecha de Vencimiento no fuera un Día Hábil, el pago </w:t>
      </w:r>
      <w:r w:rsidR="006726C2">
        <w:rPr>
          <w:rFonts w:ascii="Times New Roman" w:hAnsi="Times New Roman"/>
          <w:sz w:val="20"/>
        </w:rPr>
        <w:t xml:space="preserve">correspondiente </w:t>
      </w:r>
      <w:r w:rsidRPr="00A67569">
        <w:rPr>
          <w:rFonts w:ascii="Times New Roman" w:hAnsi="Times New Roman"/>
          <w:sz w:val="20"/>
        </w:rPr>
        <w:t>se realizará en el Día</w:t>
      </w:r>
      <w:r w:rsidR="002F4078">
        <w:rPr>
          <w:rFonts w:ascii="Times New Roman" w:hAnsi="Times New Roman"/>
          <w:sz w:val="20"/>
        </w:rPr>
        <w:t xml:space="preserve"> Hábil inmediatamente posterior</w:t>
      </w:r>
      <w:r w:rsidRPr="002F4078">
        <w:rPr>
          <w:rFonts w:ascii="Times New Roman" w:hAnsi="Times New Roman"/>
          <w:sz w:val="20"/>
        </w:rPr>
        <w:t xml:space="preserve">. </w:t>
      </w:r>
    </w:p>
    <w:p w14:paraId="6026C94B" w14:textId="2F61F94B" w:rsidR="00F96C3B" w:rsidRPr="002F4078" w:rsidRDefault="00F96C3B" w:rsidP="002E6B8E">
      <w:pPr>
        <w:widowControl w:val="0"/>
        <w:numPr>
          <w:ilvl w:val="0"/>
          <w:numId w:val="9"/>
        </w:numPr>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contextualSpacing/>
        <w:jc w:val="both"/>
        <w:rPr>
          <w:rFonts w:ascii="Times New Roman" w:hAnsi="Times New Roman"/>
          <w:sz w:val="20"/>
        </w:rPr>
      </w:pPr>
      <w:r w:rsidRPr="00A67569">
        <w:rPr>
          <w:rFonts w:ascii="Times New Roman" w:hAnsi="Times New Roman"/>
          <w:b/>
          <w:bCs/>
          <w:sz w:val="20"/>
        </w:rPr>
        <w:t>Contraprestación Anticipada</w:t>
      </w:r>
      <w:r w:rsidRPr="00A67569">
        <w:rPr>
          <w:rFonts w:ascii="Times New Roman" w:hAnsi="Times New Roman"/>
          <w:sz w:val="20"/>
        </w:rPr>
        <w:t>: La Contraprestación Anticipada c</w:t>
      </w:r>
      <w:r>
        <w:rPr>
          <w:rFonts w:ascii="Times New Roman" w:hAnsi="Times New Roman"/>
          <w:sz w:val="20"/>
        </w:rPr>
        <w:t>onsistirá en el pago de USD 0,0075</w:t>
      </w:r>
      <w:r w:rsidRPr="00A67569">
        <w:rPr>
          <w:rFonts w:ascii="Times New Roman" w:hAnsi="Times New Roman"/>
          <w:sz w:val="20"/>
        </w:rPr>
        <w:t xml:space="preserve"> por cada USD 1 de Obligaciones Negociables Existentes entregadas y aceptadas en el Canje</w:t>
      </w:r>
      <w:r w:rsidR="006726C2">
        <w:rPr>
          <w:rFonts w:ascii="Times New Roman" w:hAnsi="Times New Roman"/>
          <w:sz w:val="20"/>
        </w:rPr>
        <w:t xml:space="preserve"> bajo la Opción Par,</w:t>
      </w:r>
      <w:r w:rsidRPr="00A67569">
        <w:rPr>
          <w:rFonts w:ascii="Times New Roman" w:hAnsi="Times New Roman"/>
          <w:sz w:val="20"/>
        </w:rPr>
        <w:t xml:space="preserve"> en o antes de la Fecha Límite para Acceder a la Contraprestación Anticipada</w:t>
      </w:r>
      <w:r w:rsidR="00215F50">
        <w:rPr>
          <w:rFonts w:ascii="Times New Roman" w:hAnsi="Times New Roman"/>
          <w:sz w:val="20"/>
        </w:rPr>
        <w:t xml:space="preserve"> y ratificadas dentro del </w:t>
      </w:r>
      <w:r w:rsidR="00215F50" w:rsidRPr="002F4078">
        <w:rPr>
          <w:rFonts w:ascii="Times New Roman" w:hAnsi="Times New Roman"/>
          <w:sz w:val="20"/>
        </w:rPr>
        <w:t>Período adicional para retirar Ofertas</w:t>
      </w:r>
      <w:r w:rsidR="00215F50">
        <w:rPr>
          <w:rFonts w:ascii="Times New Roman" w:hAnsi="Times New Roman"/>
          <w:sz w:val="20"/>
        </w:rPr>
        <w:t xml:space="preserve"> bajo la Opción Par</w:t>
      </w:r>
      <w:r w:rsidRPr="00A67569">
        <w:rPr>
          <w:rFonts w:ascii="Times New Roman" w:hAnsi="Times New Roman"/>
          <w:sz w:val="20"/>
        </w:rPr>
        <w:t>.</w:t>
      </w:r>
      <w:r>
        <w:rPr>
          <w:rFonts w:ascii="Times New Roman" w:hAnsi="Times New Roman"/>
          <w:sz w:val="20"/>
        </w:rPr>
        <w:t xml:space="preserve"> </w:t>
      </w:r>
      <w:r w:rsidRPr="00B9508B">
        <w:rPr>
          <w:rFonts w:ascii="Times New Roman" w:hAnsi="Times New Roman"/>
          <w:sz w:val="20"/>
        </w:rPr>
        <w:t xml:space="preserve">Todas las Obligaciones Negociables Existentes presentadas en o antes de la Fecha Límite para Acceder a la Contraprestación Anticipada </w:t>
      </w:r>
      <w:r w:rsidR="00215F50">
        <w:rPr>
          <w:rFonts w:ascii="Times New Roman" w:hAnsi="Times New Roman"/>
          <w:sz w:val="20"/>
        </w:rPr>
        <w:t xml:space="preserve">y ratificadas dentro del </w:t>
      </w:r>
      <w:r w:rsidR="00215F50" w:rsidRPr="002F4078">
        <w:rPr>
          <w:rFonts w:ascii="Times New Roman" w:hAnsi="Times New Roman"/>
          <w:sz w:val="20"/>
        </w:rPr>
        <w:t>Período adicional para retirar Ofertas</w:t>
      </w:r>
      <w:r w:rsidR="00215F50">
        <w:rPr>
          <w:rFonts w:ascii="Times New Roman" w:hAnsi="Times New Roman"/>
          <w:sz w:val="20"/>
        </w:rPr>
        <w:t xml:space="preserve"> bajo la Opción Par,</w:t>
      </w:r>
      <w:r w:rsidR="00215F50" w:rsidRPr="00B9508B">
        <w:rPr>
          <w:rFonts w:ascii="Times New Roman" w:hAnsi="Times New Roman"/>
          <w:sz w:val="20"/>
        </w:rPr>
        <w:t xml:space="preserve"> </w:t>
      </w:r>
      <w:r w:rsidRPr="00B9508B">
        <w:rPr>
          <w:rFonts w:ascii="Times New Roman" w:hAnsi="Times New Roman"/>
          <w:sz w:val="20"/>
        </w:rPr>
        <w:t>han sido aceptadas por la Compañía y recibirán la Contraprestación Anticipada en la Fecha de Emisión y Liquidación.</w:t>
      </w:r>
      <w:r>
        <w:rPr>
          <w:rFonts w:ascii="Times New Roman" w:hAnsi="Times New Roman"/>
          <w:sz w:val="20"/>
        </w:rPr>
        <w:t xml:space="preserve"> </w:t>
      </w:r>
      <w:r w:rsidRPr="004D481B">
        <w:rPr>
          <w:rFonts w:ascii="Times New Roman" w:hAnsi="Times New Roman" w:cs="Times New Roman"/>
          <w:sz w:val="20"/>
          <w:szCs w:val="20"/>
          <w:lang w:val="es-ES"/>
        </w:rPr>
        <w:t>Dicha contraprestación se abonará en Pesos en la Fecha de Emisión y Liquidación</w:t>
      </w:r>
      <w:r w:rsidR="008A42B0">
        <w:rPr>
          <w:rFonts w:ascii="Times New Roman" w:hAnsi="Times New Roman" w:cs="Times New Roman"/>
          <w:sz w:val="20"/>
          <w:szCs w:val="20"/>
          <w:lang w:val="es-ES"/>
        </w:rPr>
        <w:t>,</w:t>
      </w:r>
      <w:r w:rsidRPr="004D481B">
        <w:rPr>
          <w:rFonts w:ascii="Times New Roman" w:hAnsi="Times New Roman" w:cs="Times New Roman"/>
          <w:sz w:val="20"/>
          <w:szCs w:val="20"/>
          <w:lang w:val="es-ES"/>
        </w:rPr>
        <w:t xml:space="preserve"> de acuerdo al tipo de cambio publicado por la Comunicación “A” 3500 del BCRA del </w:t>
      </w:r>
      <w:r w:rsidR="002E6B8E" w:rsidRPr="004D481B">
        <w:rPr>
          <w:rFonts w:ascii="Times New Roman" w:hAnsi="Times New Roman" w:cs="Times New Roman"/>
          <w:sz w:val="20"/>
          <w:szCs w:val="20"/>
          <w:lang w:val="es-ES"/>
        </w:rPr>
        <w:t xml:space="preserve">Día Hábil </w:t>
      </w:r>
      <w:r w:rsidRPr="004D481B">
        <w:rPr>
          <w:rFonts w:ascii="Times New Roman" w:hAnsi="Times New Roman" w:cs="Times New Roman"/>
          <w:sz w:val="20"/>
          <w:szCs w:val="20"/>
          <w:lang w:val="es-ES"/>
        </w:rPr>
        <w:t>anterior a la Fecha de Expiración del Canje</w:t>
      </w:r>
      <w:r>
        <w:rPr>
          <w:rFonts w:ascii="Times New Roman" w:hAnsi="Times New Roman" w:cs="Times New Roman"/>
          <w:sz w:val="20"/>
          <w:szCs w:val="20"/>
          <w:lang w:val="es-ES"/>
        </w:rPr>
        <w:t xml:space="preserve">, el cual </w:t>
      </w:r>
      <w:r w:rsidR="008A42B0">
        <w:rPr>
          <w:rFonts w:ascii="Times New Roman" w:hAnsi="Times New Roman" w:cs="Times New Roman"/>
          <w:sz w:val="20"/>
          <w:szCs w:val="20"/>
          <w:lang w:val="es-ES"/>
        </w:rPr>
        <w:t>fue</w:t>
      </w:r>
      <w:r>
        <w:rPr>
          <w:rFonts w:ascii="Times New Roman" w:hAnsi="Times New Roman" w:cs="Times New Roman"/>
          <w:sz w:val="20"/>
          <w:szCs w:val="20"/>
          <w:lang w:val="es-ES"/>
        </w:rPr>
        <w:t xml:space="preserve"> </w:t>
      </w:r>
      <w:r w:rsidR="002E6B8E" w:rsidRPr="000E775C">
        <w:rPr>
          <w:rFonts w:ascii="Times New Roman" w:hAnsi="Times New Roman" w:cs="Times New Roman"/>
          <w:sz w:val="20"/>
          <w:szCs w:val="20"/>
          <w:lang w:val="es-ES"/>
        </w:rPr>
        <w:t xml:space="preserve">de </w:t>
      </w:r>
      <w:r w:rsidRPr="000E775C">
        <w:rPr>
          <w:rFonts w:ascii="Times New Roman" w:hAnsi="Times New Roman"/>
          <w:sz w:val="20"/>
          <w:lang w:val="es-ES"/>
        </w:rPr>
        <w:t>ARS</w:t>
      </w:r>
      <w:r w:rsidR="004315B9" w:rsidRPr="000E775C">
        <w:rPr>
          <w:rFonts w:ascii="Times New Roman" w:hAnsi="Times New Roman"/>
          <w:sz w:val="20"/>
          <w:lang w:val="es-ES"/>
        </w:rPr>
        <w:t xml:space="preserve"> 95,7</w:t>
      </w:r>
      <w:r w:rsidR="000E775C" w:rsidRPr="000E775C">
        <w:rPr>
          <w:rFonts w:ascii="Times New Roman" w:hAnsi="Times New Roman"/>
          <w:sz w:val="20"/>
          <w:lang w:val="es-ES"/>
        </w:rPr>
        <w:t>667</w:t>
      </w:r>
      <w:r>
        <w:rPr>
          <w:rFonts w:ascii="Times New Roman" w:hAnsi="Times New Roman" w:cs="Times New Roman"/>
          <w:sz w:val="20"/>
          <w:szCs w:val="20"/>
          <w:lang w:val="es-ES"/>
        </w:rPr>
        <w:t xml:space="preserve"> por cada </w:t>
      </w:r>
      <w:r w:rsidRPr="00A67569">
        <w:rPr>
          <w:rFonts w:ascii="Times New Roman" w:hAnsi="Times New Roman"/>
          <w:sz w:val="20"/>
        </w:rPr>
        <w:t>USD 1</w:t>
      </w:r>
    </w:p>
    <w:p w14:paraId="32C76ACB" w14:textId="07360214" w:rsidR="00A67569" w:rsidRPr="00A67569" w:rsidRDefault="00A67569" w:rsidP="00A67569">
      <w:pPr>
        <w:widowControl w:val="0"/>
        <w:numPr>
          <w:ilvl w:val="0"/>
          <w:numId w:val="9"/>
        </w:numPr>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contextualSpacing/>
        <w:jc w:val="both"/>
        <w:rPr>
          <w:rFonts w:ascii="Times New Roman" w:hAnsi="Times New Roman"/>
          <w:sz w:val="20"/>
        </w:rPr>
      </w:pPr>
      <w:r w:rsidRPr="00A67569">
        <w:rPr>
          <w:rFonts w:ascii="Times New Roman" w:hAnsi="Times New Roman"/>
          <w:b/>
          <w:bCs/>
          <w:sz w:val="20"/>
        </w:rPr>
        <w:t>Tasa de Interés</w:t>
      </w:r>
      <w:r w:rsidR="00EF707B">
        <w:rPr>
          <w:rFonts w:ascii="Times New Roman" w:hAnsi="Times New Roman"/>
          <w:b/>
          <w:bCs/>
          <w:sz w:val="20"/>
        </w:rPr>
        <w:t xml:space="preserve"> Fija Nominal</w:t>
      </w:r>
      <w:r w:rsidR="00ED6F7A">
        <w:rPr>
          <w:rFonts w:ascii="Times New Roman" w:hAnsi="Times New Roman"/>
          <w:b/>
          <w:bCs/>
          <w:sz w:val="20"/>
        </w:rPr>
        <w:t xml:space="preserve"> Anual</w:t>
      </w:r>
      <w:r w:rsidRPr="00A67569">
        <w:rPr>
          <w:rFonts w:ascii="Times New Roman" w:hAnsi="Times New Roman"/>
          <w:b/>
          <w:bCs/>
          <w:sz w:val="20"/>
        </w:rPr>
        <w:t xml:space="preserve">: </w:t>
      </w:r>
      <w:r w:rsidR="002F4078">
        <w:rPr>
          <w:rFonts w:ascii="Times New Roman" w:hAnsi="Times New Roman"/>
          <w:sz w:val="20"/>
        </w:rPr>
        <w:t>6,99</w:t>
      </w:r>
      <w:r w:rsidRPr="00A67569">
        <w:rPr>
          <w:rFonts w:ascii="Times New Roman" w:hAnsi="Times New Roman"/>
          <w:sz w:val="20"/>
        </w:rPr>
        <w:t>%.</w:t>
      </w:r>
    </w:p>
    <w:p w14:paraId="126E29A8" w14:textId="5CA57CF3" w:rsidR="00CC262A" w:rsidRDefault="00A67569" w:rsidP="00CC262A">
      <w:pPr>
        <w:widowControl w:val="0"/>
        <w:numPr>
          <w:ilvl w:val="0"/>
          <w:numId w:val="9"/>
        </w:numPr>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contextualSpacing/>
        <w:rPr>
          <w:rFonts w:ascii="Times New Roman" w:hAnsi="Times New Roman"/>
          <w:sz w:val="20"/>
          <w:lang w:val="es-ES"/>
        </w:rPr>
      </w:pPr>
      <w:r w:rsidRPr="00A67569">
        <w:rPr>
          <w:rFonts w:ascii="Times New Roman" w:hAnsi="Times New Roman"/>
          <w:b/>
          <w:bCs/>
          <w:sz w:val="20"/>
        </w:rPr>
        <w:t>Amortización</w:t>
      </w:r>
      <w:r w:rsidR="009660A3">
        <w:rPr>
          <w:rFonts w:ascii="Times New Roman" w:hAnsi="Times New Roman"/>
          <w:sz w:val="20"/>
        </w:rPr>
        <w:t xml:space="preserve">: </w:t>
      </w:r>
      <w:r w:rsidRPr="00A67569">
        <w:rPr>
          <w:rFonts w:ascii="Times New Roman" w:hAnsi="Times New Roman"/>
          <w:sz w:val="20"/>
          <w:lang w:val="es-ES"/>
        </w:rPr>
        <w:t xml:space="preserve">El capital de las Obligaciones Negociables Clase </w:t>
      </w:r>
      <w:r w:rsidR="00A524D1">
        <w:rPr>
          <w:rFonts w:ascii="Times New Roman" w:hAnsi="Times New Roman"/>
          <w:sz w:val="20"/>
          <w:lang w:val="es-ES"/>
        </w:rPr>
        <w:t>XXX</w:t>
      </w:r>
      <w:r w:rsidRPr="00A67569">
        <w:rPr>
          <w:rFonts w:ascii="Times New Roman" w:hAnsi="Times New Roman"/>
          <w:sz w:val="20"/>
          <w:lang w:val="es-ES"/>
        </w:rPr>
        <w:t>I</w:t>
      </w:r>
      <w:r w:rsidR="002F4078">
        <w:rPr>
          <w:rFonts w:ascii="Times New Roman" w:hAnsi="Times New Roman"/>
          <w:sz w:val="20"/>
          <w:lang w:val="es-ES"/>
        </w:rPr>
        <w:t>II</w:t>
      </w:r>
      <w:r w:rsidRPr="00A67569">
        <w:rPr>
          <w:rFonts w:ascii="Times New Roman" w:hAnsi="Times New Roman"/>
          <w:sz w:val="20"/>
          <w:lang w:val="es-ES"/>
        </w:rPr>
        <w:t xml:space="preserve"> será amortizado en 3 cuotas anuales, comenzando el primer aniversario de la Fecha de Emisión y Liquidación, conforme se indica a continuación:</w:t>
      </w:r>
    </w:p>
    <w:p w14:paraId="311B91D5" w14:textId="77777777" w:rsidR="008A42B0" w:rsidRPr="00CC262A" w:rsidRDefault="008A42B0" w:rsidP="008A42B0">
      <w:pPr>
        <w:widowControl w:val="0"/>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20"/>
        <w:contextualSpacing/>
        <w:rPr>
          <w:rFonts w:ascii="Times New Roman" w:hAnsi="Times New Roman"/>
          <w:sz w:val="20"/>
          <w:lang w:val="es-ES"/>
        </w:rPr>
      </w:pPr>
    </w:p>
    <w:p w14:paraId="1415D55B" w14:textId="7DBC6EB3" w:rsidR="00A67569" w:rsidRPr="00A67569" w:rsidRDefault="00A67569">
      <w:pPr>
        <w:widowControl w:val="0"/>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18" w:hanging="284"/>
        <w:rPr>
          <w:rFonts w:ascii="Times New Roman" w:hAnsi="Times New Roman"/>
          <w:sz w:val="20"/>
          <w:lang w:val="es-ES"/>
        </w:rPr>
      </w:pPr>
      <w:r w:rsidRPr="00A67569">
        <w:rPr>
          <w:rFonts w:ascii="Times New Roman" w:hAnsi="Times New Roman"/>
          <w:sz w:val="20"/>
          <w:lang w:val="es-ES"/>
        </w:rPr>
        <w:t>-</w:t>
      </w:r>
      <w:r w:rsidRPr="00A67569">
        <w:rPr>
          <w:rFonts w:ascii="Times New Roman" w:hAnsi="Times New Roman"/>
          <w:sz w:val="20"/>
          <w:lang w:val="es-ES"/>
        </w:rPr>
        <w:tab/>
        <w:t>33% de capital,</w:t>
      </w:r>
      <w:r w:rsidR="00CC262A">
        <w:rPr>
          <w:rFonts w:ascii="Times New Roman" w:hAnsi="Times New Roman"/>
          <w:sz w:val="20"/>
          <w:lang w:val="es-ES"/>
        </w:rPr>
        <w:t xml:space="preserve"> el </w:t>
      </w:r>
      <w:r w:rsidR="004315B9">
        <w:rPr>
          <w:rFonts w:ascii="Times New Roman" w:hAnsi="Times New Roman"/>
          <w:sz w:val="20"/>
        </w:rPr>
        <w:t>6</w:t>
      </w:r>
      <w:r w:rsidR="004315B9">
        <w:rPr>
          <w:rFonts w:ascii="Times New Roman" w:hAnsi="Times New Roman"/>
          <w:sz w:val="20"/>
          <w:lang w:val="es-ES"/>
        </w:rPr>
        <w:t xml:space="preserve"> </w:t>
      </w:r>
      <w:r w:rsidR="00CC262A">
        <w:rPr>
          <w:rFonts w:ascii="Times New Roman" w:hAnsi="Times New Roman"/>
          <w:sz w:val="20"/>
          <w:lang w:val="es-ES"/>
        </w:rPr>
        <w:t xml:space="preserve">de </w:t>
      </w:r>
      <w:r w:rsidR="002F4078">
        <w:rPr>
          <w:rFonts w:ascii="Times New Roman" w:hAnsi="Times New Roman"/>
          <w:sz w:val="20"/>
          <w:lang w:val="es-ES"/>
        </w:rPr>
        <w:t>julio de 2022</w:t>
      </w:r>
      <w:r w:rsidRPr="00A67569">
        <w:rPr>
          <w:rFonts w:ascii="Times New Roman" w:hAnsi="Times New Roman"/>
          <w:sz w:val="20"/>
          <w:lang w:val="es-ES"/>
        </w:rPr>
        <w:t>;</w:t>
      </w:r>
    </w:p>
    <w:p w14:paraId="24A6CA1E" w14:textId="09B6591F" w:rsidR="00A67569" w:rsidRPr="00A67569" w:rsidRDefault="00A67569">
      <w:pPr>
        <w:widowControl w:val="0"/>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18" w:hanging="284"/>
        <w:rPr>
          <w:rFonts w:ascii="Times New Roman" w:hAnsi="Times New Roman"/>
          <w:sz w:val="20"/>
          <w:lang w:val="es-ES"/>
        </w:rPr>
      </w:pPr>
      <w:r w:rsidRPr="00A67569">
        <w:rPr>
          <w:rFonts w:ascii="Times New Roman" w:hAnsi="Times New Roman"/>
          <w:sz w:val="20"/>
          <w:lang w:val="es-ES"/>
        </w:rPr>
        <w:t>-</w:t>
      </w:r>
      <w:r w:rsidRPr="00A67569">
        <w:rPr>
          <w:rFonts w:ascii="Times New Roman" w:hAnsi="Times New Roman"/>
          <w:sz w:val="20"/>
          <w:lang w:val="es-ES"/>
        </w:rPr>
        <w:tab/>
        <w:t>33% de capital,</w:t>
      </w:r>
      <w:r w:rsidR="00CC262A" w:rsidRPr="00CC262A">
        <w:rPr>
          <w:rFonts w:ascii="Times New Roman" w:hAnsi="Times New Roman"/>
          <w:sz w:val="20"/>
          <w:lang w:val="es-ES"/>
        </w:rPr>
        <w:t xml:space="preserve"> </w:t>
      </w:r>
      <w:r w:rsidR="00CC262A">
        <w:rPr>
          <w:rFonts w:ascii="Times New Roman" w:hAnsi="Times New Roman"/>
          <w:sz w:val="20"/>
          <w:lang w:val="es-ES"/>
        </w:rPr>
        <w:t xml:space="preserve">el </w:t>
      </w:r>
      <w:r w:rsidR="004315B9">
        <w:rPr>
          <w:rFonts w:ascii="Times New Roman" w:hAnsi="Times New Roman"/>
          <w:sz w:val="20"/>
        </w:rPr>
        <w:t>6</w:t>
      </w:r>
      <w:r w:rsidR="004315B9">
        <w:rPr>
          <w:rFonts w:ascii="Times New Roman" w:hAnsi="Times New Roman"/>
          <w:sz w:val="20"/>
          <w:lang w:val="es-ES"/>
        </w:rPr>
        <w:t xml:space="preserve"> </w:t>
      </w:r>
      <w:r w:rsidR="00CC262A">
        <w:rPr>
          <w:rFonts w:ascii="Times New Roman" w:hAnsi="Times New Roman"/>
          <w:sz w:val="20"/>
          <w:lang w:val="es-ES"/>
        </w:rPr>
        <w:t xml:space="preserve">de </w:t>
      </w:r>
      <w:r w:rsidR="002F4078">
        <w:rPr>
          <w:rFonts w:ascii="Times New Roman" w:hAnsi="Times New Roman"/>
          <w:sz w:val="20"/>
          <w:lang w:val="es-ES"/>
        </w:rPr>
        <w:t>julio de 2023</w:t>
      </w:r>
      <w:r w:rsidRPr="00A67569">
        <w:rPr>
          <w:rFonts w:ascii="Times New Roman" w:hAnsi="Times New Roman"/>
          <w:sz w:val="20"/>
          <w:lang w:val="es-ES"/>
        </w:rPr>
        <w:t>;</w:t>
      </w:r>
      <w:r w:rsidR="008A42B0">
        <w:rPr>
          <w:rFonts w:ascii="Times New Roman" w:hAnsi="Times New Roman"/>
          <w:sz w:val="20"/>
          <w:lang w:val="es-ES"/>
        </w:rPr>
        <w:t xml:space="preserve"> y</w:t>
      </w:r>
    </w:p>
    <w:p w14:paraId="2DA4B45F" w14:textId="41474600" w:rsidR="00A67569" w:rsidRDefault="00A67569" w:rsidP="00A67569">
      <w:pPr>
        <w:widowControl w:val="0"/>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18" w:hanging="284"/>
        <w:rPr>
          <w:rFonts w:ascii="Times New Roman" w:hAnsi="Times New Roman"/>
          <w:sz w:val="20"/>
          <w:lang w:val="es-ES"/>
        </w:rPr>
      </w:pPr>
      <w:r w:rsidRPr="00A67569">
        <w:rPr>
          <w:rFonts w:ascii="Times New Roman" w:hAnsi="Times New Roman"/>
          <w:sz w:val="20"/>
          <w:lang w:val="es-ES"/>
        </w:rPr>
        <w:t>-</w:t>
      </w:r>
      <w:r w:rsidRPr="00A67569">
        <w:rPr>
          <w:rFonts w:ascii="Times New Roman" w:hAnsi="Times New Roman"/>
          <w:sz w:val="20"/>
          <w:lang w:val="es-ES"/>
        </w:rPr>
        <w:tab/>
        <w:t>34% de capital, en la Fecha de Vencimiento.</w:t>
      </w:r>
    </w:p>
    <w:p w14:paraId="4483A3EB" w14:textId="09345361" w:rsidR="00CC262A" w:rsidRPr="00A67569" w:rsidRDefault="00CC262A" w:rsidP="00C8459A">
      <w:pPr>
        <w:widowControl w:val="0"/>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rPr>
          <w:rFonts w:ascii="Times New Roman" w:hAnsi="Times New Roman"/>
          <w:sz w:val="20"/>
          <w:lang w:val="es-ES"/>
        </w:rPr>
      </w:pPr>
      <w:r w:rsidRPr="000D57E6">
        <w:rPr>
          <w:rFonts w:ascii="Times New Roman" w:hAnsi="Times New Roman"/>
          <w:sz w:val="20"/>
        </w:rPr>
        <w:t>Si cualquier</w:t>
      </w:r>
      <w:r>
        <w:rPr>
          <w:rFonts w:ascii="Times New Roman" w:hAnsi="Times New Roman"/>
          <w:sz w:val="20"/>
        </w:rPr>
        <w:t xml:space="preserve">a de estas fechas </w:t>
      </w:r>
      <w:r w:rsidRPr="000D57E6">
        <w:rPr>
          <w:rFonts w:ascii="Times New Roman" w:hAnsi="Times New Roman"/>
          <w:sz w:val="20"/>
        </w:rPr>
        <w:t>no fuera un Día</w:t>
      </w:r>
      <w:r>
        <w:rPr>
          <w:rFonts w:ascii="Times New Roman" w:hAnsi="Times New Roman"/>
          <w:sz w:val="20"/>
        </w:rPr>
        <w:t xml:space="preserve"> </w:t>
      </w:r>
      <w:r w:rsidRPr="000D57E6">
        <w:rPr>
          <w:rFonts w:ascii="Times New Roman" w:hAnsi="Times New Roman"/>
          <w:sz w:val="20"/>
        </w:rPr>
        <w:t>Hábil, dicho pago será</w:t>
      </w:r>
      <w:r>
        <w:rPr>
          <w:rFonts w:ascii="Times New Roman" w:hAnsi="Times New Roman"/>
          <w:sz w:val="20"/>
        </w:rPr>
        <w:t xml:space="preserve"> </w:t>
      </w:r>
      <w:r w:rsidRPr="000D57E6">
        <w:rPr>
          <w:rFonts w:ascii="Times New Roman" w:hAnsi="Times New Roman"/>
          <w:sz w:val="20"/>
        </w:rPr>
        <w:t>efectuado el 1º (primer) Día Hábil posterior</w:t>
      </w:r>
      <w:r>
        <w:rPr>
          <w:rFonts w:ascii="Times New Roman" w:hAnsi="Times New Roman"/>
          <w:sz w:val="20"/>
        </w:rPr>
        <w:t>.</w:t>
      </w:r>
    </w:p>
    <w:p w14:paraId="4C7343F6" w14:textId="4F26A33C" w:rsidR="00B8242D" w:rsidRDefault="00A67569">
      <w:pPr>
        <w:widowControl w:val="0"/>
        <w:numPr>
          <w:ilvl w:val="0"/>
          <w:numId w:val="9"/>
        </w:numPr>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contextualSpacing/>
        <w:jc w:val="both"/>
        <w:rPr>
          <w:rFonts w:ascii="Times New Roman" w:hAnsi="Times New Roman"/>
          <w:sz w:val="20"/>
        </w:rPr>
      </w:pPr>
      <w:r w:rsidRPr="00B8242D">
        <w:rPr>
          <w:rFonts w:ascii="Times New Roman" w:hAnsi="Times New Roman"/>
          <w:b/>
          <w:bCs/>
          <w:sz w:val="20"/>
        </w:rPr>
        <w:t xml:space="preserve">Fechas de Pago de Intereses: </w:t>
      </w:r>
      <w:r w:rsidR="00B8242D" w:rsidRPr="00B8242D">
        <w:rPr>
          <w:rFonts w:ascii="Times New Roman" w:hAnsi="Times New Roman"/>
          <w:sz w:val="20"/>
        </w:rPr>
        <w:t xml:space="preserve">Los intereses de las Obligaciones Negociables </w:t>
      </w:r>
      <w:r w:rsidR="005C1563">
        <w:rPr>
          <w:rFonts w:ascii="Times New Roman" w:hAnsi="Times New Roman"/>
          <w:sz w:val="20"/>
        </w:rPr>
        <w:t>Clase XXXIII serán pagaderos semestralmente por semestre</w:t>
      </w:r>
      <w:r w:rsidR="00B8242D" w:rsidRPr="00B8242D">
        <w:rPr>
          <w:rFonts w:ascii="Times New Roman" w:hAnsi="Times New Roman"/>
          <w:sz w:val="20"/>
        </w:rPr>
        <w:t xml:space="preserve"> vencido desde la Fecha de Emisión y Liquidación, en las fechas que se detall</w:t>
      </w:r>
      <w:r w:rsidR="00215F50">
        <w:rPr>
          <w:rFonts w:ascii="Times New Roman" w:hAnsi="Times New Roman"/>
          <w:sz w:val="20"/>
        </w:rPr>
        <w:t xml:space="preserve">an a continuación: </w:t>
      </w:r>
      <w:r w:rsidR="004315B9">
        <w:rPr>
          <w:rFonts w:ascii="Times New Roman" w:hAnsi="Times New Roman"/>
          <w:sz w:val="20"/>
        </w:rPr>
        <w:t xml:space="preserve">6 </w:t>
      </w:r>
      <w:r w:rsidR="005C1563">
        <w:rPr>
          <w:rFonts w:ascii="Times New Roman" w:hAnsi="Times New Roman"/>
          <w:sz w:val="20"/>
        </w:rPr>
        <w:t>de enero de 2022</w:t>
      </w:r>
      <w:r w:rsidR="00215F50">
        <w:rPr>
          <w:rFonts w:ascii="Times New Roman" w:hAnsi="Times New Roman"/>
          <w:sz w:val="20"/>
        </w:rPr>
        <w:t xml:space="preserve">, </w:t>
      </w:r>
      <w:r w:rsidR="004315B9">
        <w:rPr>
          <w:rFonts w:ascii="Times New Roman" w:hAnsi="Times New Roman"/>
          <w:sz w:val="20"/>
        </w:rPr>
        <w:t>6</w:t>
      </w:r>
      <w:r w:rsidR="004315B9" w:rsidRPr="00B8242D">
        <w:rPr>
          <w:rFonts w:ascii="Times New Roman" w:hAnsi="Times New Roman"/>
          <w:sz w:val="20"/>
        </w:rPr>
        <w:t xml:space="preserve"> </w:t>
      </w:r>
      <w:r w:rsidR="00B8242D" w:rsidRPr="00B8242D">
        <w:rPr>
          <w:rFonts w:ascii="Times New Roman" w:hAnsi="Times New Roman"/>
          <w:sz w:val="20"/>
        </w:rPr>
        <w:t xml:space="preserve">de </w:t>
      </w:r>
      <w:r w:rsidR="005C1563">
        <w:rPr>
          <w:rFonts w:ascii="Times New Roman" w:hAnsi="Times New Roman"/>
          <w:sz w:val="20"/>
        </w:rPr>
        <w:t>julio</w:t>
      </w:r>
      <w:r w:rsidR="00215F50">
        <w:rPr>
          <w:rFonts w:ascii="Times New Roman" w:hAnsi="Times New Roman"/>
          <w:sz w:val="20"/>
        </w:rPr>
        <w:t xml:space="preserve"> de 2022, </w:t>
      </w:r>
      <w:r w:rsidR="004315B9">
        <w:rPr>
          <w:rFonts w:ascii="Times New Roman" w:hAnsi="Times New Roman"/>
          <w:sz w:val="20"/>
        </w:rPr>
        <w:t>6</w:t>
      </w:r>
      <w:r w:rsidR="004315B9" w:rsidRPr="00B8242D">
        <w:rPr>
          <w:rFonts w:ascii="Times New Roman" w:hAnsi="Times New Roman"/>
          <w:sz w:val="20"/>
        </w:rPr>
        <w:t xml:space="preserve"> </w:t>
      </w:r>
      <w:r w:rsidR="00B8242D" w:rsidRPr="00B8242D">
        <w:rPr>
          <w:rFonts w:ascii="Times New Roman" w:hAnsi="Times New Roman"/>
          <w:sz w:val="20"/>
        </w:rPr>
        <w:t xml:space="preserve">de </w:t>
      </w:r>
      <w:r w:rsidR="005C1563">
        <w:rPr>
          <w:rFonts w:ascii="Times New Roman" w:hAnsi="Times New Roman"/>
          <w:sz w:val="20"/>
        </w:rPr>
        <w:t>enero de 2023</w:t>
      </w:r>
      <w:r w:rsidR="00215F50">
        <w:rPr>
          <w:rFonts w:ascii="Times New Roman" w:hAnsi="Times New Roman"/>
          <w:sz w:val="20"/>
        </w:rPr>
        <w:t xml:space="preserve">, </w:t>
      </w:r>
      <w:r w:rsidR="004315B9">
        <w:rPr>
          <w:rFonts w:ascii="Times New Roman" w:hAnsi="Times New Roman"/>
          <w:sz w:val="20"/>
        </w:rPr>
        <w:t xml:space="preserve">6 </w:t>
      </w:r>
      <w:r w:rsidR="00215F50">
        <w:rPr>
          <w:rFonts w:ascii="Times New Roman" w:hAnsi="Times New Roman"/>
          <w:sz w:val="20"/>
        </w:rPr>
        <w:t xml:space="preserve">de julio de 2023, </w:t>
      </w:r>
      <w:r w:rsidR="004315B9">
        <w:rPr>
          <w:rFonts w:ascii="Times New Roman" w:hAnsi="Times New Roman"/>
          <w:sz w:val="20"/>
        </w:rPr>
        <w:t xml:space="preserve">6 </w:t>
      </w:r>
      <w:r w:rsidR="005C1563">
        <w:rPr>
          <w:rFonts w:ascii="Times New Roman" w:hAnsi="Times New Roman"/>
          <w:sz w:val="20"/>
        </w:rPr>
        <w:t>de enero de 2024</w:t>
      </w:r>
      <w:r w:rsidR="00B8242D" w:rsidRPr="00B8242D">
        <w:rPr>
          <w:rFonts w:ascii="Times New Roman" w:hAnsi="Times New Roman"/>
          <w:sz w:val="20"/>
        </w:rPr>
        <w:t xml:space="preserve"> y en la Fecha de Vencimiento. Si cualquier día de pago de cualquier monto bajo las Obligaciones Negociables Clase XXXIII no fuera un Día Hábil, dicho pago será efectuado el Día Hábil inmediatamente posterior.</w:t>
      </w:r>
    </w:p>
    <w:p w14:paraId="37FB309A" w14:textId="0EB5D642" w:rsidR="00EF707B" w:rsidRPr="00B8242D" w:rsidRDefault="00EF707B" w:rsidP="00B8242D">
      <w:pPr>
        <w:widowControl w:val="0"/>
        <w:numPr>
          <w:ilvl w:val="0"/>
          <w:numId w:val="9"/>
        </w:numPr>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contextualSpacing/>
        <w:jc w:val="both"/>
        <w:rPr>
          <w:rFonts w:ascii="Times New Roman" w:hAnsi="Times New Roman"/>
          <w:sz w:val="20"/>
        </w:rPr>
      </w:pPr>
      <w:r w:rsidRPr="00B8242D">
        <w:rPr>
          <w:rFonts w:ascii="Times New Roman" w:hAnsi="Times New Roman"/>
          <w:b/>
          <w:bCs/>
          <w:sz w:val="20"/>
        </w:rPr>
        <w:t>Domicilio de Pago:</w:t>
      </w:r>
      <w:r w:rsidRPr="00B8242D">
        <w:rPr>
          <w:rFonts w:ascii="Times New Roman" w:hAnsi="Times New Roman"/>
          <w:sz w:val="20"/>
        </w:rPr>
        <w:t xml:space="preserve"> El de pago </w:t>
      </w:r>
      <w:r w:rsidR="005C1563" w:rsidRPr="00113E17">
        <w:rPr>
          <w:rFonts w:ascii="Times New Roman" w:hAnsi="Times New Roman"/>
          <w:sz w:val="20"/>
          <w:szCs w:val="20"/>
          <w:lang w:eastAsia="es-ES"/>
        </w:rPr>
        <w:t>será realizado en la Ciudad de Nueva York, Estados Unidos, a cuyo fin la Compañía pondrá a disposición dólares estadounidenses en una cuenta informada por Caja de Valores en dicha jurisdicción</w:t>
      </w:r>
      <w:r w:rsidRPr="00B8242D">
        <w:rPr>
          <w:rFonts w:ascii="Times New Roman" w:hAnsi="Times New Roman"/>
          <w:sz w:val="20"/>
        </w:rPr>
        <w:t>.</w:t>
      </w:r>
    </w:p>
    <w:p w14:paraId="2DFA196D" w14:textId="77777777" w:rsidR="001C14A5" w:rsidRPr="00A67569" w:rsidRDefault="001C14A5" w:rsidP="001C14A5">
      <w:pPr>
        <w:widowControl w:val="0"/>
        <w:tabs>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ind w:left="720"/>
        <w:contextualSpacing/>
        <w:jc w:val="both"/>
        <w:rPr>
          <w:rFonts w:ascii="Times New Roman" w:hAnsi="Times New Roman"/>
          <w:sz w:val="20"/>
        </w:rPr>
      </w:pPr>
    </w:p>
    <w:p w14:paraId="3609745F" w14:textId="19BF27B7" w:rsidR="00F96C3B" w:rsidRPr="00F96C3B" w:rsidRDefault="00F96C3B" w:rsidP="005A0678">
      <w:pPr>
        <w:spacing w:before="120" w:after="120"/>
        <w:jc w:val="both"/>
        <w:rPr>
          <w:rFonts w:ascii="Times New Roman" w:hAnsi="Times New Roman" w:cs="Times New Roman"/>
          <w:b/>
          <w:snapToGrid w:val="0"/>
          <w:sz w:val="20"/>
          <w:szCs w:val="20"/>
        </w:rPr>
      </w:pPr>
      <w:r w:rsidRPr="00F96C3B">
        <w:rPr>
          <w:rFonts w:ascii="Times New Roman" w:hAnsi="Times New Roman" w:cs="Times New Roman"/>
          <w:b/>
          <w:snapToGrid w:val="0"/>
          <w:sz w:val="20"/>
          <w:szCs w:val="20"/>
        </w:rPr>
        <w:t>Asimismo, por medio del presente Aviso de Resultados, la Compañía informa que ha resuelto dispensar</w:t>
      </w:r>
      <w:r w:rsidR="002E6B8E">
        <w:rPr>
          <w:rFonts w:ascii="Times New Roman" w:hAnsi="Times New Roman" w:cs="Times New Roman"/>
          <w:b/>
          <w:snapToGrid w:val="0"/>
          <w:sz w:val="20"/>
          <w:szCs w:val="20"/>
        </w:rPr>
        <w:t xml:space="preserve"> el cumplimiento de</w:t>
      </w:r>
      <w:r w:rsidRPr="00F96C3B">
        <w:rPr>
          <w:rFonts w:ascii="Times New Roman" w:hAnsi="Times New Roman" w:cs="Times New Roman"/>
          <w:b/>
          <w:snapToGrid w:val="0"/>
          <w:sz w:val="20"/>
          <w:szCs w:val="20"/>
        </w:rPr>
        <w:t xml:space="preserve"> la Condición Mínima de Canje conforme se define en el Suplemento de Prospecto (véase “</w:t>
      </w:r>
      <w:r w:rsidRPr="00F96C3B">
        <w:rPr>
          <w:rFonts w:ascii="Times New Roman" w:hAnsi="Times New Roman" w:cs="Times New Roman"/>
          <w:b/>
          <w:i/>
          <w:snapToGrid w:val="0"/>
          <w:sz w:val="20"/>
          <w:szCs w:val="20"/>
        </w:rPr>
        <w:t>Oferta de Suscripción de Obligaciones Negociables en Canje de Obligaciones Negociables Existentes—b) Descripción de la Oferta de Canje— Condición Mínima de Canje</w:t>
      </w:r>
      <w:r w:rsidRPr="00F96C3B">
        <w:rPr>
          <w:rFonts w:ascii="Times New Roman" w:hAnsi="Times New Roman" w:cs="Times New Roman"/>
          <w:b/>
          <w:snapToGrid w:val="0"/>
          <w:sz w:val="20"/>
          <w:szCs w:val="20"/>
        </w:rPr>
        <w:t xml:space="preserve">”). </w:t>
      </w:r>
    </w:p>
    <w:p w14:paraId="027120C3" w14:textId="3B163A3C" w:rsidR="005540BA" w:rsidRPr="005A0678" w:rsidRDefault="005540BA" w:rsidP="005A0678">
      <w:pPr>
        <w:spacing w:before="120" w:after="120"/>
        <w:jc w:val="both"/>
        <w:rPr>
          <w:rFonts w:ascii="Times New Roman" w:hAnsi="Times New Roman" w:cs="Times New Roman"/>
          <w:b/>
          <w:sz w:val="20"/>
          <w:szCs w:val="20"/>
        </w:rPr>
      </w:pPr>
      <w:r w:rsidRPr="005A0678">
        <w:rPr>
          <w:rFonts w:ascii="Times New Roman" w:hAnsi="Times New Roman" w:cs="Times New Roman"/>
          <w:b/>
          <w:sz w:val="20"/>
          <w:szCs w:val="20"/>
        </w:rPr>
        <w:t>LA INFORMACIÓN CONTENIDA EN EL SUPLEMENTO DE PROSPECTO</w:t>
      </w:r>
      <w:r w:rsidR="005C1563">
        <w:rPr>
          <w:rFonts w:ascii="Times New Roman" w:hAnsi="Times New Roman" w:cs="Times New Roman"/>
          <w:b/>
          <w:sz w:val="20"/>
          <w:szCs w:val="20"/>
        </w:rPr>
        <w:t>, EL AVISO DE SUSCRI</w:t>
      </w:r>
      <w:r w:rsidR="008A42B0">
        <w:rPr>
          <w:rFonts w:ascii="Times New Roman" w:hAnsi="Times New Roman" w:cs="Times New Roman"/>
          <w:b/>
          <w:sz w:val="20"/>
          <w:szCs w:val="20"/>
        </w:rPr>
        <w:t>PCIÓN, EL AVISO COMPLEMENTARIO,</w:t>
      </w:r>
      <w:r w:rsidR="005C1563">
        <w:rPr>
          <w:rFonts w:ascii="Times New Roman" w:hAnsi="Times New Roman" w:cs="Times New Roman"/>
          <w:b/>
          <w:sz w:val="20"/>
          <w:szCs w:val="20"/>
        </w:rPr>
        <w:t xml:space="preserve"> LA ADENDA</w:t>
      </w:r>
      <w:r w:rsidRPr="005A0678">
        <w:rPr>
          <w:rFonts w:ascii="Times New Roman" w:hAnsi="Times New Roman" w:cs="Times New Roman"/>
          <w:b/>
          <w:sz w:val="20"/>
          <w:szCs w:val="20"/>
        </w:rPr>
        <w:t xml:space="preserve"> </w:t>
      </w:r>
      <w:r w:rsidR="008A42B0">
        <w:rPr>
          <w:rFonts w:ascii="Times New Roman" w:hAnsi="Times New Roman" w:cs="Times New Roman"/>
          <w:b/>
          <w:sz w:val="20"/>
          <w:szCs w:val="20"/>
        </w:rPr>
        <w:t xml:space="preserve">Y EL HECHO RELEVANTE </w:t>
      </w:r>
      <w:r w:rsidRPr="005A0678">
        <w:rPr>
          <w:rFonts w:ascii="Times New Roman" w:hAnsi="Times New Roman" w:cs="Times New Roman"/>
          <w:b/>
          <w:sz w:val="20"/>
          <w:szCs w:val="20"/>
        </w:rPr>
        <w:t>N</w:t>
      </w:r>
      <w:r w:rsidR="003D3877">
        <w:rPr>
          <w:rFonts w:ascii="Times New Roman" w:hAnsi="Times New Roman" w:cs="Times New Roman"/>
          <w:b/>
          <w:sz w:val="20"/>
          <w:szCs w:val="20"/>
        </w:rPr>
        <w:t xml:space="preserve">O HA SIDO OBJETO DE REVISIÓN </w:t>
      </w:r>
      <w:r w:rsidRPr="005A0678">
        <w:rPr>
          <w:rFonts w:ascii="Times New Roman" w:hAnsi="Times New Roman" w:cs="Times New Roman"/>
          <w:b/>
          <w:sz w:val="20"/>
          <w:szCs w:val="20"/>
        </w:rPr>
        <w:t>POR PARTE DE LA CNV NI POR PARTE DEL MERCADO ABIERTO ELECTRÓNICO S.A., SIENDO LA MISMA EXCLUSIVA RESPONSABILIDAD DE LOS MIEMBROS DEL ÓRGANO DE ADMINISTRACIÓN Y FISCALIZACIÓN, EN LO QUE RESULTA DE SU COMPETENCIA, Y DE LOS AGENTES QUE PARTICIPEN COMO ORGANIZADOR Y COLOCADORES EN LA OFERTA PÚBLICA CONFORME CON LO PREVISTO POR LOS ARTÍCULOS 119 Y 120 DE LA LEY 26.831. DE ACUERDO CON EL PROCEDIMIENTO ESTABLECIDO EN EL ARTÍCULO 51 DEL TÍTULO II DEL CAPÍTULO V DE LAS NORMAS DE LA CNV, DENTRO DE LOS CINCO DÍAS HÁBILES DE SUSCRIPTAS LAS OBLIGACIONES NEGOCIABLES, LA COMPAÑÍA PRESENTARÁ LA DOCUMENTACIÓN DEFINITIVA RELATIVA A LAS MISMAS.</w:t>
      </w:r>
    </w:p>
    <w:p w14:paraId="6E7BA0C4" w14:textId="5EC4DF12" w:rsidR="00B8242D" w:rsidRDefault="00B8242D" w:rsidP="005A0678">
      <w:pPr>
        <w:spacing w:before="120" w:after="120" w:line="8" w:lineRule="atLeast"/>
        <w:ind w:right="-1"/>
        <w:jc w:val="both"/>
        <w:rPr>
          <w:rFonts w:ascii="Times New Roman" w:hAnsi="Times New Roman" w:cs="Times New Roman"/>
          <w:b/>
          <w:bCs/>
          <w:sz w:val="20"/>
          <w:szCs w:val="20"/>
        </w:rPr>
      </w:pPr>
      <w:r w:rsidRPr="00B8242D">
        <w:rPr>
          <w:rFonts w:ascii="Times New Roman" w:hAnsi="Times New Roman" w:cs="Times New Roman"/>
          <w:b/>
          <w:bCs/>
          <w:sz w:val="20"/>
          <w:szCs w:val="20"/>
        </w:rPr>
        <w:lastRenderedPageBreak/>
        <w:t>Por cualquier consulta, dirigirse a los Colocadores (una vez levantadas las medidas de aislamiento obligatorio, dentro de la jurisdicción correspondiente): (i) BACS Banco de Crédito y Securitización S.A., Tucumán 1, piso 19 “A”, Ciudad Autónoma de Buenos Aires, República Argentina; (ii) Banco Hipotecario S.A., Reconquista 151, Ciudad Autónoma de Buenos Aires, República Argentina, (iii) Banco de Galicia y Buenos Aires S.A.U., Tte. Gral. Juan Domingo Perón 430, Ciudad Autónoma de Buenos Aires, República Argentina; (iv) Banco Santander Río S.A., Av. Juan de Garay 151, Ciudad Autónoma de Buenos Aires, República Argentina; (v) Banco de la Provincia de Buenos Aires, San Martín 108, piso 15, Ciudad Autónoma de Buenos Aires, República Argentina; (vi) Balanz Capital Valores S.A.U., Av. Corrientes 316, piso 3, oficina 362, Ciudad Autónoma de Buenos Aires, República Argentina; (vii) Puente Hnos. S.A., Av. Del Libertador 498, piso 4º, Ciudad Autónoma de Buenos Aires, República Argentina; (viii) Banco Itaú Argentina S.A., Victoria Ocampo 360, Torre Sur, Piso 8º, Ciudad Autónoma de Buenos Aires, Argentina (en todo momento a: Horacio.Roque@itaubba.com, teléfono 5273-3512</w:t>
      </w:r>
      <w:r w:rsidR="008A42B0">
        <w:rPr>
          <w:rFonts w:ascii="Times New Roman" w:hAnsi="Times New Roman" w:cs="Times New Roman"/>
          <w:b/>
          <w:bCs/>
          <w:sz w:val="20"/>
          <w:szCs w:val="20"/>
        </w:rPr>
        <w:t xml:space="preserve"> </w:t>
      </w:r>
      <w:r w:rsidRPr="00B8242D">
        <w:rPr>
          <w:rFonts w:ascii="Times New Roman" w:hAnsi="Times New Roman" w:cs="Times New Roman"/>
          <w:b/>
          <w:bCs/>
          <w:sz w:val="20"/>
          <w:szCs w:val="20"/>
        </w:rPr>
        <w:t>/ marcos.delavega@itaubba.com/mariano.palermo@itaubba.com, teléfono 5273-3553); (ix) Itaú Valores S.A., Victoria Ocampo 360, Torre Sur, Piso 8° Ciudad Autónoma de Buenos Aires, Argentina (en todo momento a: angel.tremonti@itau.com.ar, teléfono 3985 8764</w:t>
      </w:r>
      <w:r w:rsidR="008A42B0">
        <w:rPr>
          <w:rFonts w:ascii="Times New Roman" w:hAnsi="Times New Roman" w:cs="Times New Roman"/>
          <w:b/>
          <w:bCs/>
          <w:sz w:val="20"/>
          <w:szCs w:val="20"/>
        </w:rPr>
        <w:t xml:space="preserve"> </w:t>
      </w:r>
      <w:r w:rsidRPr="00B8242D">
        <w:rPr>
          <w:rFonts w:ascii="Times New Roman" w:hAnsi="Times New Roman" w:cs="Times New Roman"/>
          <w:b/>
          <w:bCs/>
          <w:sz w:val="20"/>
          <w:szCs w:val="20"/>
        </w:rPr>
        <w:t>/ natalia.sposaro@itau.com.ar, teléfono 3985 8761); (x) Industrial and Commercial Bank of China (Argentina) S.A.U., Cecilia Grierson 355, piso 12, Ciudad Autónoma de Buenos Aires, Argentina; (xi) AR Partners S.A., Arenales 707, piso 6, Ciudad Autónoma de Buenos Aires, Argentina; (xii) Bull Market Brokers S.A., Bouchard 680 piso 8, Ciudad Autónoma de Buenos Aires, Argentina; (xiii) SBS Trading S.A., Av. Eduardo Madero 900, Piso 19, Ciudad Autónoma de Buenos Aires, Argentina; y (xiv) Industrial Valores S.A., Sarmiento 530, Piso 2º, Ciudad Autónoma de Buenos Aires, Argentina.</w:t>
      </w:r>
    </w:p>
    <w:p w14:paraId="005A9056" w14:textId="606102BE" w:rsidR="007C44DB" w:rsidRPr="005A0678" w:rsidRDefault="00B8242D" w:rsidP="005A0678">
      <w:pPr>
        <w:spacing w:before="120" w:after="120" w:line="8" w:lineRule="atLeast"/>
        <w:ind w:right="-1"/>
        <w:jc w:val="both"/>
        <w:rPr>
          <w:rFonts w:ascii="Times New Roman" w:hAnsi="Times New Roman" w:cs="Times New Roman"/>
          <w:sz w:val="20"/>
          <w:szCs w:val="20"/>
        </w:rPr>
      </w:pPr>
      <w:r w:rsidRPr="00B8242D">
        <w:rPr>
          <w:rFonts w:ascii="Times New Roman" w:hAnsi="Times New Roman" w:cs="Times New Roman"/>
          <w:sz w:val="20"/>
          <w:szCs w:val="20"/>
        </w:rPr>
        <w:t>La oferta pública de las obligaciones negociables en el marco del Programa ha sido autorizada por Resolución Nº17.206 de fecha 22 de octubre de 2013, habiéndose autorizado la prórroga del Programa y la ampliación de su monto por Resolución Nº19.325 de fecha 26 de enero de 2018, ambas de la CNV. Esta autorización sólo significa que se ha cumplido con los requisitos establecidos en materia de información. La CNV no ha emitido juicio sobre los datos contenidos en el Suplemento de Prospecto</w:t>
      </w:r>
      <w:r w:rsidR="008A42B0">
        <w:rPr>
          <w:rFonts w:ascii="Times New Roman" w:hAnsi="Times New Roman" w:cs="Times New Roman"/>
          <w:sz w:val="20"/>
          <w:szCs w:val="20"/>
        </w:rPr>
        <w:t xml:space="preserve"> ni en la Adenda</w:t>
      </w:r>
      <w:r w:rsidRPr="00B8242D">
        <w:rPr>
          <w:rFonts w:ascii="Times New Roman" w:hAnsi="Times New Roman" w:cs="Times New Roman"/>
          <w:sz w:val="20"/>
          <w:szCs w:val="20"/>
        </w:rPr>
        <w:t>. La información incluida en el presente es información parcial que deberá ser complementada con la informa</w:t>
      </w:r>
      <w:r w:rsidR="008A42B0">
        <w:rPr>
          <w:rFonts w:ascii="Times New Roman" w:hAnsi="Times New Roman" w:cs="Times New Roman"/>
          <w:sz w:val="20"/>
          <w:szCs w:val="20"/>
        </w:rPr>
        <w:t>ción contenida en el Prospecto,</w:t>
      </w:r>
      <w:r w:rsidRPr="00B8242D">
        <w:rPr>
          <w:rFonts w:ascii="Times New Roman" w:hAnsi="Times New Roman" w:cs="Times New Roman"/>
          <w:sz w:val="20"/>
          <w:szCs w:val="20"/>
        </w:rPr>
        <w:t xml:space="preserve"> el Suplemento de Prospecto</w:t>
      </w:r>
      <w:r w:rsidR="008A42B0">
        <w:rPr>
          <w:rFonts w:ascii="Times New Roman" w:hAnsi="Times New Roman" w:cs="Times New Roman"/>
          <w:sz w:val="20"/>
          <w:szCs w:val="20"/>
        </w:rPr>
        <w:t>, el Aviso de Suscripción</w:t>
      </w:r>
      <w:r w:rsidR="003D3877">
        <w:rPr>
          <w:rFonts w:ascii="Times New Roman" w:hAnsi="Times New Roman" w:cs="Times New Roman"/>
          <w:sz w:val="20"/>
          <w:szCs w:val="20"/>
        </w:rPr>
        <w:t>, el Aviso Complementario</w:t>
      </w:r>
      <w:r w:rsidR="008A42B0">
        <w:rPr>
          <w:rFonts w:ascii="Times New Roman" w:hAnsi="Times New Roman" w:cs="Times New Roman"/>
          <w:sz w:val="20"/>
          <w:szCs w:val="20"/>
        </w:rPr>
        <w:t xml:space="preserve"> y en la Adenda</w:t>
      </w:r>
      <w:r w:rsidRPr="00B8242D">
        <w:rPr>
          <w:rFonts w:ascii="Times New Roman" w:hAnsi="Times New Roman" w:cs="Times New Roman"/>
          <w:sz w:val="20"/>
          <w:szCs w:val="20"/>
        </w:rPr>
        <w:t xml:space="preserve">. </w:t>
      </w:r>
      <w:r w:rsidR="008A42B0">
        <w:rPr>
          <w:rFonts w:ascii="Times New Roman" w:hAnsi="Times New Roman" w:cs="Times New Roman"/>
          <w:sz w:val="20"/>
          <w:szCs w:val="20"/>
        </w:rPr>
        <w:t xml:space="preserve">El </w:t>
      </w:r>
      <w:r w:rsidRPr="00B8242D">
        <w:rPr>
          <w:rFonts w:ascii="Times New Roman" w:hAnsi="Times New Roman" w:cs="Times New Roman"/>
          <w:sz w:val="20"/>
          <w:szCs w:val="20"/>
        </w:rPr>
        <w:t xml:space="preserve">Prospecto (incluyendo los estados contables que se mencionan en este último) </w:t>
      </w:r>
      <w:r w:rsidR="008A42B0" w:rsidRPr="008A42B0">
        <w:rPr>
          <w:rFonts w:ascii="Times New Roman" w:hAnsi="Times New Roman" w:cs="Times New Roman"/>
          <w:sz w:val="20"/>
          <w:szCs w:val="20"/>
        </w:rPr>
        <w:t>el Suplemento de Prospec</w:t>
      </w:r>
      <w:r w:rsidR="008A42B0">
        <w:rPr>
          <w:rFonts w:ascii="Times New Roman" w:hAnsi="Times New Roman" w:cs="Times New Roman"/>
          <w:sz w:val="20"/>
          <w:szCs w:val="20"/>
        </w:rPr>
        <w:t>to y</w:t>
      </w:r>
      <w:r w:rsidR="008A42B0" w:rsidRPr="008A42B0">
        <w:rPr>
          <w:rFonts w:ascii="Times New Roman" w:hAnsi="Times New Roman" w:cs="Times New Roman"/>
          <w:sz w:val="20"/>
          <w:szCs w:val="20"/>
        </w:rPr>
        <w:t xml:space="preserve"> la Adenda </w:t>
      </w:r>
      <w:r w:rsidRPr="00B8242D">
        <w:rPr>
          <w:rFonts w:ascii="Times New Roman" w:hAnsi="Times New Roman" w:cs="Times New Roman"/>
          <w:sz w:val="20"/>
          <w:szCs w:val="20"/>
        </w:rPr>
        <w:t xml:space="preserve">se encuentran a disposición del público inversor en nuestra página web </w:t>
      </w:r>
      <w:hyperlink r:id="rId11" w:history="1">
        <w:r w:rsidRPr="00252666">
          <w:rPr>
            <w:rStyle w:val="Hyperlink"/>
            <w:rFonts w:ascii="Times New Roman" w:hAnsi="Times New Roman" w:cs="Times New Roman"/>
            <w:sz w:val="20"/>
            <w:szCs w:val="20"/>
            <w:lang w:val="es-ES"/>
          </w:rPr>
          <w:t>www.cresud.com.ar</w:t>
        </w:r>
      </w:hyperlink>
      <w:r w:rsidRPr="00B8242D">
        <w:rPr>
          <w:rFonts w:ascii="Times New Roman" w:hAnsi="Times New Roman" w:cs="Times New Roman"/>
          <w:sz w:val="20"/>
          <w:szCs w:val="20"/>
        </w:rPr>
        <w:t xml:space="preserve">, en la página web de los mercados donde estén listadas o se negocien las Obligaciones Negociables (entre ellos, sin limitación, </w:t>
      </w:r>
      <w:hyperlink r:id="rId12" w:history="1">
        <w:r w:rsidRPr="00252666">
          <w:rPr>
            <w:rStyle w:val="Hyperlink"/>
            <w:rFonts w:ascii="Times New Roman" w:hAnsi="Times New Roman" w:cs="Times New Roman"/>
            <w:sz w:val="20"/>
            <w:szCs w:val="20"/>
            <w:lang w:val="es-ES"/>
          </w:rPr>
          <w:t>www.bolsar.info</w:t>
        </w:r>
      </w:hyperlink>
      <w:r>
        <w:rPr>
          <w:rStyle w:val="Hyperlink"/>
          <w:rFonts w:ascii="Times New Roman" w:hAnsi="Times New Roman" w:cs="Times New Roman"/>
          <w:sz w:val="20"/>
          <w:szCs w:val="20"/>
          <w:lang w:val="es-ES"/>
        </w:rPr>
        <w:t xml:space="preserve"> </w:t>
      </w:r>
      <w:r w:rsidRPr="00B8242D">
        <w:rPr>
          <w:rFonts w:ascii="Times New Roman" w:hAnsi="Times New Roman" w:cs="Times New Roman"/>
          <w:sz w:val="20"/>
          <w:szCs w:val="20"/>
        </w:rPr>
        <w:t xml:space="preserve">en el caso de ByMA y la Página Web del MAE) y en la Página Web de la CNV, bajo el ítem “Empresas”. Asimismo, una vez levantadas las medidas ambulatorias vigentes, estarán disponibles en nuestras oficinas en Carlos Della Paolera 261, Piso 9, (C1001ADA) Ciudad Autónoma de Buenos Aires, los días hábiles de 10:00 a 17:00 horas. Cualquier consulta sobre el presente podrá ser dirigida a Relación con Inversores vía telefónica al (+5411) 4323-7400 o por correo electrónico a </w:t>
      </w:r>
      <w:hyperlink r:id="rId13" w:history="1">
        <w:r w:rsidRPr="005B243B">
          <w:rPr>
            <w:rStyle w:val="Hyperlink"/>
            <w:rFonts w:ascii="Times New Roman" w:hAnsi="Times New Roman" w:cs="Times New Roman"/>
            <w:sz w:val="20"/>
            <w:szCs w:val="20"/>
          </w:rPr>
          <w:t>ir@cresud.com.ar</w:t>
        </w:r>
      </w:hyperlink>
      <w:r w:rsidRPr="00B8242D">
        <w:rPr>
          <w:rFonts w:ascii="Times New Roman" w:hAnsi="Times New Roman" w:cs="Times New Roman"/>
          <w:sz w:val="20"/>
          <w:szCs w:val="20"/>
        </w:rPr>
        <w:t xml:space="preserve">. </w:t>
      </w:r>
    </w:p>
    <w:tbl>
      <w:tblPr>
        <w:tblW w:w="4796" w:type="pct"/>
        <w:tblLook w:val="04A0" w:firstRow="1" w:lastRow="0" w:firstColumn="1" w:lastColumn="0" w:noHBand="0" w:noVBand="1"/>
      </w:tblPr>
      <w:tblGrid>
        <w:gridCol w:w="1758"/>
        <w:gridCol w:w="2339"/>
        <w:gridCol w:w="1802"/>
        <w:gridCol w:w="278"/>
        <w:gridCol w:w="1637"/>
        <w:gridCol w:w="1639"/>
      </w:tblGrid>
      <w:tr w:rsidR="00234713" w:rsidRPr="004315B9" w14:paraId="20864A35" w14:textId="77777777" w:rsidTr="00715ED9">
        <w:trPr>
          <w:trHeight w:val="249"/>
        </w:trPr>
        <w:tc>
          <w:tcPr>
            <w:tcW w:w="5000" w:type="pct"/>
            <w:gridSpan w:val="6"/>
          </w:tcPr>
          <w:p w14:paraId="5BF12677" w14:textId="77777777" w:rsidR="00F07F95" w:rsidRDefault="00F07F95">
            <w:pPr>
              <w:autoSpaceDE w:val="0"/>
              <w:autoSpaceDN w:val="0"/>
              <w:adjustRightInd w:val="0"/>
              <w:spacing w:after="0" w:line="240" w:lineRule="auto"/>
              <w:jc w:val="center"/>
              <w:rPr>
                <w:rFonts w:ascii="Times New Roman" w:eastAsia="Calibri" w:hAnsi="Times New Roman" w:cs="Times New Roman"/>
                <w:b/>
                <w:sz w:val="20"/>
                <w:szCs w:val="20"/>
                <w:lang w:val="es-ES" w:eastAsia="es-AR"/>
              </w:rPr>
            </w:pPr>
          </w:p>
          <w:p w14:paraId="7BDE76F3" w14:textId="77777777" w:rsidR="00234713" w:rsidRPr="004315B9" w:rsidRDefault="00234713">
            <w:pPr>
              <w:autoSpaceDE w:val="0"/>
              <w:autoSpaceDN w:val="0"/>
              <w:adjustRightInd w:val="0"/>
              <w:spacing w:after="0" w:line="240" w:lineRule="auto"/>
              <w:jc w:val="center"/>
              <w:rPr>
                <w:rFonts w:ascii="Times New Roman" w:eastAsia="Calibri" w:hAnsi="Times New Roman" w:cs="Times New Roman"/>
                <w:sz w:val="20"/>
                <w:szCs w:val="20"/>
                <w:lang w:val="es-ES" w:eastAsia="es-AR"/>
              </w:rPr>
            </w:pPr>
            <w:r w:rsidRPr="004315B9">
              <w:rPr>
                <w:rFonts w:ascii="Times New Roman" w:eastAsia="Calibri" w:hAnsi="Times New Roman" w:cs="Times New Roman"/>
                <w:b/>
                <w:sz w:val="20"/>
                <w:szCs w:val="20"/>
                <w:lang w:val="es-ES" w:eastAsia="es-AR"/>
              </w:rPr>
              <w:t xml:space="preserve">Colocadores </w:t>
            </w:r>
          </w:p>
        </w:tc>
      </w:tr>
      <w:tr w:rsidR="00234713" w:rsidRPr="004315B9" w14:paraId="65E487AC" w14:textId="77777777" w:rsidTr="00715ED9">
        <w:trPr>
          <w:trHeight w:val="249"/>
        </w:trPr>
        <w:tc>
          <w:tcPr>
            <w:tcW w:w="5000" w:type="pct"/>
            <w:gridSpan w:val="6"/>
          </w:tcPr>
          <w:p w14:paraId="5AD98588" w14:textId="77777777" w:rsidR="00234713" w:rsidRPr="004315B9" w:rsidRDefault="00234713" w:rsidP="00234713">
            <w:pPr>
              <w:autoSpaceDE w:val="0"/>
              <w:autoSpaceDN w:val="0"/>
              <w:adjustRightInd w:val="0"/>
              <w:spacing w:after="0" w:line="240" w:lineRule="auto"/>
              <w:jc w:val="center"/>
              <w:rPr>
                <w:rFonts w:ascii="Times New Roman" w:eastAsia="Calibri" w:hAnsi="Times New Roman" w:cs="Times New Roman"/>
                <w:b/>
                <w:sz w:val="20"/>
                <w:szCs w:val="20"/>
                <w:lang w:val="es-ES" w:eastAsia="es-AR"/>
              </w:rPr>
            </w:pPr>
          </w:p>
        </w:tc>
      </w:tr>
      <w:tr w:rsidR="00B8242D" w:rsidRPr="004315B9" w14:paraId="7203CF34" w14:textId="77777777" w:rsidTr="00715ED9">
        <w:trPr>
          <w:trHeight w:val="1742"/>
        </w:trPr>
        <w:tc>
          <w:tcPr>
            <w:tcW w:w="930" w:type="pct"/>
            <w:shd w:val="clear" w:color="auto" w:fill="auto"/>
          </w:tcPr>
          <w:p w14:paraId="5EA1DD3A"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
                <w:sz w:val="20"/>
                <w:szCs w:val="20"/>
                <w:lang w:eastAsia="es-AR"/>
              </w:rPr>
              <w:t>BACS Banco de Crédito y Securitización S.A.</w:t>
            </w:r>
          </w:p>
          <w:p w14:paraId="5636F260" w14:textId="77777777" w:rsidR="00B8242D" w:rsidRPr="004315B9" w:rsidRDefault="00B8242D" w:rsidP="005C1563">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 xml:space="preserve">Tucumán 1 piso 19 “A”, </w:t>
            </w:r>
          </w:p>
          <w:p w14:paraId="14FD237F"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Ciudad Autónoma de Buenos Aires,</w:t>
            </w:r>
          </w:p>
          <w:p w14:paraId="4E4788B7"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Argentina</w:t>
            </w:r>
          </w:p>
          <w:p w14:paraId="2954BC8F"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tc>
        <w:tc>
          <w:tcPr>
            <w:tcW w:w="1237" w:type="pct"/>
            <w:shd w:val="clear" w:color="auto" w:fill="auto"/>
          </w:tcPr>
          <w:p w14:paraId="32D278E4"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
                <w:sz w:val="20"/>
                <w:szCs w:val="20"/>
                <w:lang w:eastAsia="es-AR"/>
              </w:rPr>
              <w:t>Banco Hipotecario S.A.</w:t>
            </w:r>
          </w:p>
          <w:p w14:paraId="4F748C7B"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453E39BA"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208FBF35" w14:textId="77777777" w:rsidR="005C1563" w:rsidRPr="004315B9" w:rsidRDefault="005C1563" w:rsidP="005C1563">
            <w:pPr>
              <w:tabs>
                <w:tab w:val="left" w:pos="330"/>
                <w:tab w:val="center" w:pos="1061"/>
              </w:tabs>
              <w:autoSpaceDE w:val="0"/>
              <w:autoSpaceDN w:val="0"/>
              <w:adjustRightInd w:val="0"/>
              <w:spacing w:after="0" w:line="240" w:lineRule="auto"/>
              <w:contextualSpacing/>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ab/>
            </w:r>
          </w:p>
          <w:p w14:paraId="7F3975C0" w14:textId="45A716F1" w:rsidR="00B8242D" w:rsidRPr="004315B9" w:rsidRDefault="005C1563" w:rsidP="005C1563">
            <w:pPr>
              <w:tabs>
                <w:tab w:val="left" w:pos="330"/>
                <w:tab w:val="center" w:pos="1061"/>
              </w:tabs>
              <w:autoSpaceDE w:val="0"/>
              <w:autoSpaceDN w:val="0"/>
              <w:adjustRightInd w:val="0"/>
              <w:spacing w:after="0" w:line="240" w:lineRule="auto"/>
              <w:contextualSpacing/>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ab/>
            </w:r>
            <w:r w:rsidR="00B8242D" w:rsidRPr="004315B9">
              <w:rPr>
                <w:rFonts w:asciiTheme="majorBidi" w:hAnsiTheme="majorBidi" w:cstheme="majorBidi"/>
                <w:bCs/>
                <w:sz w:val="20"/>
                <w:szCs w:val="20"/>
                <w:lang w:eastAsia="es-AR"/>
              </w:rPr>
              <w:t xml:space="preserve">Reconquista 151, </w:t>
            </w:r>
          </w:p>
          <w:p w14:paraId="5A673724"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 xml:space="preserve">Ciudad Autónoma de Buenos Aires, </w:t>
            </w:r>
          </w:p>
          <w:p w14:paraId="44BB4B9A"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Cs/>
                <w:sz w:val="20"/>
                <w:szCs w:val="20"/>
                <w:lang w:eastAsia="es-AR"/>
              </w:rPr>
              <w:t>Argentina</w:t>
            </w:r>
            <w:r w:rsidRPr="004315B9" w:rsidDel="006B08DB">
              <w:rPr>
                <w:rFonts w:asciiTheme="majorBidi" w:hAnsiTheme="majorBidi" w:cstheme="majorBidi"/>
                <w:b/>
                <w:sz w:val="20"/>
                <w:szCs w:val="20"/>
                <w:lang w:eastAsia="es-AR"/>
              </w:rPr>
              <w:t xml:space="preserve"> </w:t>
            </w:r>
          </w:p>
        </w:tc>
        <w:tc>
          <w:tcPr>
            <w:tcW w:w="953" w:type="pct"/>
            <w:shd w:val="clear" w:color="auto" w:fill="auto"/>
          </w:tcPr>
          <w:p w14:paraId="60501F85"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
                <w:sz w:val="20"/>
                <w:szCs w:val="20"/>
                <w:lang w:eastAsia="es-AR"/>
              </w:rPr>
              <w:t xml:space="preserve">Banco de Galicia y Buenos Aires S.A.U. </w:t>
            </w:r>
          </w:p>
          <w:p w14:paraId="7CD62394"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3E1FE50B"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Tte. Gral. Juan Domingo Perón 407,</w:t>
            </w:r>
          </w:p>
          <w:p w14:paraId="6278CE7A" w14:textId="77777777" w:rsidR="00715ED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Cs/>
                <w:sz w:val="20"/>
                <w:szCs w:val="20"/>
                <w:lang w:eastAsia="es-AR"/>
              </w:rPr>
              <w:t>Ciudad Autónoma de Buenos Aires,</w:t>
            </w:r>
            <w:r w:rsidRPr="004315B9">
              <w:rPr>
                <w:rFonts w:asciiTheme="majorBidi" w:hAnsiTheme="majorBidi" w:cstheme="majorBidi"/>
                <w:b/>
                <w:sz w:val="20"/>
                <w:szCs w:val="20"/>
                <w:lang w:eastAsia="es-AR"/>
              </w:rPr>
              <w:t xml:space="preserve"> </w:t>
            </w:r>
          </w:p>
          <w:p w14:paraId="68A2AFA2" w14:textId="4905D83A" w:rsidR="00B8242D" w:rsidRPr="004315B9" w:rsidRDefault="00B8242D" w:rsidP="00715ED9">
            <w:pPr>
              <w:autoSpaceDE w:val="0"/>
              <w:autoSpaceDN w:val="0"/>
              <w:adjustRightInd w:val="0"/>
              <w:spacing w:after="0" w:line="240" w:lineRule="auto"/>
              <w:contextualSpacing/>
              <w:rPr>
                <w:rFonts w:asciiTheme="majorBidi" w:hAnsiTheme="majorBidi" w:cstheme="majorBidi"/>
                <w:b/>
                <w:sz w:val="20"/>
                <w:szCs w:val="20"/>
                <w:lang w:eastAsia="es-AR"/>
              </w:rPr>
            </w:pPr>
          </w:p>
        </w:tc>
        <w:tc>
          <w:tcPr>
            <w:tcW w:w="1013" w:type="pct"/>
            <w:gridSpan w:val="2"/>
            <w:shd w:val="clear" w:color="auto" w:fill="auto"/>
          </w:tcPr>
          <w:p w14:paraId="4438D57C"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
                <w:sz w:val="20"/>
                <w:szCs w:val="20"/>
                <w:lang w:eastAsia="es-AR"/>
              </w:rPr>
              <w:t>Banco Santander Río S.A.</w:t>
            </w:r>
          </w:p>
          <w:p w14:paraId="5362C4A5"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0F1EDC8A"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2DFF5182"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 xml:space="preserve">Av. Juan de Garay 151, Ciudad Autónoma de Buenos Aires, </w:t>
            </w:r>
          </w:p>
          <w:p w14:paraId="36E6A49F"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Cs/>
                <w:sz w:val="20"/>
                <w:szCs w:val="20"/>
                <w:lang w:eastAsia="es-AR"/>
              </w:rPr>
              <w:t>Argentina</w:t>
            </w:r>
          </w:p>
        </w:tc>
        <w:tc>
          <w:tcPr>
            <w:tcW w:w="867" w:type="pct"/>
            <w:shd w:val="clear" w:color="auto" w:fill="auto"/>
          </w:tcPr>
          <w:p w14:paraId="49462AAC"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
                <w:sz w:val="20"/>
                <w:szCs w:val="20"/>
                <w:lang w:eastAsia="es-AR"/>
              </w:rPr>
              <w:t xml:space="preserve">Banco de la Provincia de Buenos Aires </w:t>
            </w:r>
          </w:p>
          <w:p w14:paraId="23DFEA31"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0082F591" w14:textId="77777777" w:rsidR="00B8242D" w:rsidRPr="004315B9" w:rsidRDefault="00B8242D" w:rsidP="005C1563">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 xml:space="preserve">San Martin 108, Ciudad Autónoma de Buenos Aires, </w:t>
            </w:r>
          </w:p>
          <w:p w14:paraId="3B136483"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Cs/>
                <w:sz w:val="20"/>
                <w:szCs w:val="20"/>
                <w:lang w:eastAsia="es-AR"/>
              </w:rPr>
              <w:t>Argentina</w:t>
            </w:r>
          </w:p>
        </w:tc>
      </w:tr>
      <w:tr w:rsidR="00B8242D" w:rsidRPr="004315B9" w14:paraId="133136BA" w14:textId="77777777" w:rsidTr="00715ED9">
        <w:trPr>
          <w:trHeight w:val="2016"/>
        </w:trPr>
        <w:tc>
          <w:tcPr>
            <w:tcW w:w="930" w:type="pct"/>
          </w:tcPr>
          <w:p w14:paraId="1730EC7D"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
                <w:sz w:val="20"/>
                <w:szCs w:val="20"/>
                <w:lang w:eastAsia="es-AR"/>
              </w:rPr>
              <w:t>Balanz Capital Valores S.A.U.</w:t>
            </w:r>
          </w:p>
          <w:p w14:paraId="4AED2EC8"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0828916A"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53B48865" w14:textId="77777777" w:rsidR="005C1563" w:rsidRPr="004315B9" w:rsidRDefault="005C1563" w:rsidP="005C1563">
            <w:pPr>
              <w:autoSpaceDE w:val="0"/>
              <w:autoSpaceDN w:val="0"/>
              <w:adjustRightInd w:val="0"/>
              <w:spacing w:after="0" w:line="240" w:lineRule="auto"/>
              <w:contextualSpacing/>
              <w:jc w:val="center"/>
              <w:rPr>
                <w:rFonts w:asciiTheme="majorBidi" w:hAnsiTheme="majorBidi" w:cstheme="majorBidi"/>
                <w:bCs/>
                <w:sz w:val="20"/>
                <w:szCs w:val="20"/>
                <w:lang w:eastAsia="es-AR"/>
              </w:rPr>
            </w:pPr>
          </w:p>
          <w:p w14:paraId="3EE9B494" w14:textId="77777777" w:rsidR="00B8242D" w:rsidRPr="004315B9" w:rsidRDefault="00B8242D" w:rsidP="005C1563">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 xml:space="preserve">Av. Corrientes 316, piso 3, </w:t>
            </w:r>
          </w:p>
          <w:p w14:paraId="26C16636"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oficina 362, Ciudad Autónoma de Buenos Aires,</w:t>
            </w:r>
          </w:p>
          <w:p w14:paraId="647AF44A"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Cs/>
                <w:sz w:val="20"/>
                <w:szCs w:val="20"/>
                <w:lang w:eastAsia="es-AR"/>
              </w:rPr>
              <w:t xml:space="preserve"> Argentina</w:t>
            </w:r>
          </w:p>
        </w:tc>
        <w:tc>
          <w:tcPr>
            <w:tcW w:w="1237" w:type="pct"/>
          </w:tcPr>
          <w:p w14:paraId="5BFAB072" w14:textId="77777777" w:rsidR="00B8242D" w:rsidRPr="004315B9" w:rsidRDefault="00B8242D" w:rsidP="00715ED9">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
                <w:sz w:val="20"/>
                <w:szCs w:val="20"/>
                <w:lang w:eastAsia="es-AR"/>
              </w:rPr>
              <w:t>Puente Hnos. S.A.</w:t>
            </w:r>
          </w:p>
          <w:p w14:paraId="3B4FDF07"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022BF2AD"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6B09963C"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2025582D" w14:textId="77777777" w:rsidR="005C1563" w:rsidRPr="004315B9" w:rsidRDefault="005C1563" w:rsidP="005C1563">
            <w:pPr>
              <w:autoSpaceDE w:val="0"/>
              <w:autoSpaceDN w:val="0"/>
              <w:adjustRightInd w:val="0"/>
              <w:spacing w:after="0" w:line="240" w:lineRule="auto"/>
              <w:contextualSpacing/>
              <w:jc w:val="center"/>
              <w:rPr>
                <w:rFonts w:asciiTheme="majorBidi" w:hAnsiTheme="majorBidi" w:cstheme="majorBidi"/>
                <w:bCs/>
                <w:sz w:val="20"/>
                <w:szCs w:val="20"/>
                <w:lang w:eastAsia="es-AR"/>
              </w:rPr>
            </w:pPr>
          </w:p>
          <w:p w14:paraId="3C1A4AA9" w14:textId="77777777" w:rsidR="00B8242D" w:rsidRPr="004315B9" w:rsidRDefault="00B8242D" w:rsidP="005C1563">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Av. Del Libertador 498, piso 4º, Ciudad Autónoma de Buenos Aires,</w:t>
            </w:r>
          </w:p>
          <w:p w14:paraId="57AF0FC2"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 xml:space="preserve"> Argentina</w:t>
            </w:r>
            <w:r w:rsidRPr="004315B9" w:rsidDel="00974415">
              <w:rPr>
                <w:rFonts w:asciiTheme="majorBidi" w:hAnsiTheme="majorBidi" w:cstheme="majorBidi"/>
                <w:bCs/>
                <w:sz w:val="20"/>
                <w:szCs w:val="20"/>
                <w:lang w:eastAsia="es-AR"/>
              </w:rPr>
              <w:t xml:space="preserve"> </w:t>
            </w:r>
          </w:p>
          <w:p w14:paraId="71FC6190"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tc>
        <w:tc>
          <w:tcPr>
            <w:tcW w:w="953" w:type="pct"/>
          </w:tcPr>
          <w:p w14:paraId="34AD910C" w14:textId="004513C6" w:rsidR="00715ED9" w:rsidRDefault="00715ED9"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
                <w:sz w:val="20"/>
                <w:szCs w:val="20"/>
                <w:lang w:eastAsia="es-AR"/>
              </w:rPr>
              <w:t>Argentina</w:t>
            </w:r>
          </w:p>
          <w:p w14:paraId="7A37B437"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
                <w:sz w:val="20"/>
                <w:szCs w:val="20"/>
                <w:lang w:eastAsia="es-AR"/>
              </w:rPr>
              <w:t>Banco Itaú Argentina</w:t>
            </w:r>
            <w:r w:rsidRPr="004315B9" w:rsidDel="00974415">
              <w:rPr>
                <w:rFonts w:asciiTheme="majorBidi" w:hAnsiTheme="majorBidi" w:cstheme="majorBidi"/>
                <w:b/>
                <w:sz w:val="20"/>
                <w:szCs w:val="20"/>
                <w:lang w:eastAsia="es-AR"/>
              </w:rPr>
              <w:t xml:space="preserve"> </w:t>
            </w:r>
            <w:r w:rsidRPr="004315B9">
              <w:rPr>
                <w:rFonts w:asciiTheme="majorBidi" w:hAnsiTheme="majorBidi" w:cstheme="majorBidi"/>
                <w:b/>
                <w:sz w:val="20"/>
                <w:szCs w:val="20"/>
                <w:lang w:eastAsia="es-AR"/>
              </w:rPr>
              <w:t>S.A.</w:t>
            </w:r>
          </w:p>
          <w:p w14:paraId="7DBEEA09" w14:textId="77777777" w:rsidR="005C1563" w:rsidRDefault="005C1563" w:rsidP="00715ED9">
            <w:pPr>
              <w:autoSpaceDE w:val="0"/>
              <w:autoSpaceDN w:val="0"/>
              <w:adjustRightInd w:val="0"/>
              <w:spacing w:after="0" w:line="240" w:lineRule="auto"/>
              <w:contextualSpacing/>
              <w:rPr>
                <w:rFonts w:asciiTheme="majorBidi" w:hAnsiTheme="majorBidi" w:cstheme="majorBidi"/>
                <w:b/>
                <w:sz w:val="20"/>
                <w:szCs w:val="20"/>
                <w:lang w:eastAsia="es-AR"/>
              </w:rPr>
            </w:pPr>
          </w:p>
          <w:p w14:paraId="259BB86E" w14:textId="77777777" w:rsidR="00715ED9" w:rsidRPr="004315B9" w:rsidRDefault="00715ED9" w:rsidP="00715ED9">
            <w:pPr>
              <w:autoSpaceDE w:val="0"/>
              <w:autoSpaceDN w:val="0"/>
              <w:adjustRightInd w:val="0"/>
              <w:spacing w:after="0" w:line="240" w:lineRule="auto"/>
              <w:contextualSpacing/>
              <w:rPr>
                <w:rFonts w:asciiTheme="majorBidi" w:hAnsiTheme="majorBidi" w:cstheme="majorBidi"/>
                <w:bCs/>
                <w:sz w:val="20"/>
                <w:szCs w:val="20"/>
                <w:lang w:eastAsia="es-AR"/>
              </w:rPr>
            </w:pPr>
          </w:p>
          <w:p w14:paraId="7E4FF039" w14:textId="77777777" w:rsidR="00B8242D" w:rsidRPr="004315B9" w:rsidRDefault="00B8242D" w:rsidP="005C1563">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 xml:space="preserve">Agente de Liquidación y Compensación y Agente de Negociación Integral Matrícula CNV N°70 </w:t>
            </w:r>
          </w:p>
          <w:p w14:paraId="5BBFBBBB"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 xml:space="preserve">Victoria Ocampo 360, Torre Sur, Piso 8,Ciudad Autónoma de </w:t>
            </w:r>
            <w:r w:rsidRPr="004315B9">
              <w:rPr>
                <w:rFonts w:asciiTheme="majorBidi" w:hAnsiTheme="majorBidi" w:cstheme="majorBidi"/>
                <w:bCs/>
                <w:sz w:val="20"/>
                <w:szCs w:val="20"/>
                <w:lang w:eastAsia="es-AR"/>
              </w:rPr>
              <w:lastRenderedPageBreak/>
              <w:t>Buenos Aires, Argentina</w:t>
            </w:r>
          </w:p>
          <w:p w14:paraId="6591ED0B" w14:textId="77777777" w:rsidR="00B8242D" w:rsidRPr="004315B9" w:rsidDel="00382300"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tc>
        <w:tc>
          <w:tcPr>
            <w:tcW w:w="1013" w:type="pct"/>
            <w:gridSpan w:val="2"/>
          </w:tcPr>
          <w:p w14:paraId="2A3F9F5B" w14:textId="77777777" w:rsidR="00B8242D" w:rsidRPr="00715ED9" w:rsidRDefault="00B8242D" w:rsidP="0053763D">
            <w:pPr>
              <w:autoSpaceDE w:val="0"/>
              <w:autoSpaceDN w:val="0"/>
              <w:adjustRightInd w:val="0"/>
              <w:spacing w:after="0" w:line="240" w:lineRule="auto"/>
              <w:contextualSpacing/>
              <w:jc w:val="center"/>
              <w:rPr>
                <w:rFonts w:asciiTheme="majorBidi" w:hAnsiTheme="majorBidi"/>
                <w:b/>
                <w:sz w:val="20"/>
                <w:szCs w:val="20"/>
                <w:lang w:val="en-US"/>
              </w:rPr>
            </w:pPr>
            <w:r w:rsidRPr="00715ED9">
              <w:rPr>
                <w:rFonts w:asciiTheme="majorBidi" w:hAnsiTheme="majorBidi"/>
                <w:b/>
                <w:sz w:val="20"/>
                <w:szCs w:val="20"/>
                <w:lang w:val="en-US"/>
              </w:rPr>
              <w:lastRenderedPageBreak/>
              <w:t>Industrial and Commercial Bank of China (Argentina) S.A.U.</w:t>
            </w:r>
          </w:p>
          <w:p w14:paraId="5FDEB47C" w14:textId="77777777" w:rsidR="005C1563" w:rsidRPr="00715ED9" w:rsidRDefault="005C1563" w:rsidP="005C1563">
            <w:pPr>
              <w:autoSpaceDE w:val="0"/>
              <w:autoSpaceDN w:val="0"/>
              <w:adjustRightInd w:val="0"/>
              <w:spacing w:after="0" w:line="240" w:lineRule="auto"/>
              <w:contextualSpacing/>
              <w:jc w:val="center"/>
              <w:rPr>
                <w:rFonts w:asciiTheme="majorBidi" w:hAnsiTheme="majorBidi" w:cstheme="majorBidi"/>
                <w:bCs/>
                <w:sz w:val="20"/>
                <w:szCs w:val="20"/>
                <w:lang w:val="en-US" w:eastAsia="es-AR"/>
              </w:rPr>
            </w:pPr>
          </w:p>
          <w:p w14:paraId="25318763" w14:textId="1B17171F" w:rsidR="00B8242D" w:rsidRPr="004315B9" w:rsidRDefault="00B8242D" w:rsidP="005C1563">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Cecilia Grierson 355</w:t>
            </w:r>
            <w:r w:rsidR="005C1563" w:rsidRPr="004315B9">
              <w:rPr>
                <w:rFonts w:asciiTheme="majorBidi" w:hAnsiTheme="majorBidi" w:cstheme="majorBidi"/>
                <w:bCs/>
                <w:sz w:val="20"/>
                <w:szCs w:val="20"/>
                <w:lang w:eastAsia="es-AR"/>
              </w:rPr>
              <w:t>,</w:t>
            </w:r>
            <w:r w:rsidRPr="004315B9">
              <w:rPr>
                <w:rFonts w:asciiTheme="majorBidi" w:hAnsiTheme="majorBidi" w:cstheme="majorBidi"/>
                <w:bCs/>
                <w:sz w:val="20"/>
                <w:szCs w:val="20"/>
                <w:lang w:eastAsia="es-AR"/>
              </w:rPr>
              <w:t xml:space="preserve"> piso 12</w:t>
            </w:r>
            <w:r w:rsidR="005C1563" w:rsidRPr="004315B9">
              <w:rPr>
                <w:rFonts w:asciiTheme="majorBidi" w:hAnsiTheme="majorBidi" w:cstheme="majorBidi"/>
                <w:bCs/>
                <w:sz w:val="20"/>
                <w:szCs w:val="20"/>
                <w:lang w:eastAsia="es-AR"/>
              </w:rPr>
              <w:t>,</w:t>
            </w:r>
            <w:r w:rsidRPr="004315B9">
              <w:rPr>
                <w:rFonts w:asciiTheme="majorBidi" w:hAnsiTheme="majorBidi" w:cstheme="majorBidi"/>
                <w:bCs/>
                <w:sz w:val="20"/>
                <w:szCs w:val="20"/>
                <w:lang w:eastAsia="es-AR"/>
              </w:rPr>
              <w:t xml:space="preserve"> Ciudad Autónoma de Buenos Aires, Argentina</w:t>
            </w:r>
          </w:p>
          <w:p w14:paraId="7823A96B"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tc>
        <w:tc>
          <w:tcPr>
            <w:tcW w:w="867" w:type="pct"/>
          </w:tcPr>
          <w:p w14:paraId="0B276084"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
                <w:sz w:val="20"/>
                <w:szCs w:val="20"/>
                <w:lang w:eastAsia="es-AR"/>
              </w:rPr>
              <w:t>AR Partners S.A.</w:t>
            </w:r>
          </w:p>
          <w:p w14:paraId="00AE5823"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3B77E253"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0132590F"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2848FD7C" w14:textId="77777777" w:rsidR="00B8242D" w:rsidRPr="004315B9" w:rsidRDefault="00B8242D" w:rsidP="005C1563">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Arenales 707, piso 6, Ciudad Autónoma de Buenos Aires, Argentina</w:t>
            </w:r>
          </w:p>
        </w:tc>
      </w:tr>
      <w:tr w:rsidR="004315B9" w:rsidRPr="004315B9" w14:paraId="2615BB9D" w14:textId="77777777" w:rsidTr="004315B9">
        <w:trPr>
          <w:trHeight w:val="709"/>
        </w:trPr>
        <w:tc>
          <w:tcPr>
            <w:tcW w:w="930" w:type="pct"/>
          </w:tcPr>
          <w:p w14:paraId="273362E3" w14:textId="77777777" w:rsidR="004315B9" w:rsidRPr="004315B9" w:rsidRDefault="004315B9"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tc>
        <w:tc>
          <w:tcPr>
            <w:tcW w:w="1237" w:type="pct"/>
          </w:tcPr>
          <w:p w14:paraId="79656319" w14:textId="77777777" w:rsidR="004315B9" w:rsidRPr="00715ED9" w:rsidRDefault="004315B9"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tc>
        <w:tc>
          <w:tcPr>
            <w:tcW w:w="1100" w:type="pct"/>
            <w:gridSpan w:val="2"/>
          </w:tcPr>
          <w:p w14:paraId="41979E9B" w14:textId="77777777" w:rsidR="004315B9" w:rsidRPr="004315B9" w:rsidRDefault="004315B9"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tc>
        <w:tc>
          <w:tcPr>
            <w:tcW w:w="1733" w:type="pct"/>
            <w:gridSpan w:val="2"/>
          </w:tcPr>
          <w:p w14:paraId="70AC8921" w14:textId="77777777" w:rsidR="004315B9" w:rsidRPr="004315B9" w:rsidRDefault="004315B9"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tc>
      </w:tr>
      <w:tr w:rsidR="00B8242D" w:rsidRPr="004315B9" w14:paraId="657983E0" w14:textId="77777777" w:rsidTr="00715ED9">
        <w:trPr>
          <w:trHeight w:val="709"/>
        </w:trPr>
        <w:tc>
          <w:tcPr>
            <w:tcW w:w="930" w:type="pct"/>
          </w:tcPr>
          <w:p w14:paraId="620D4C5B"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
                <w:sz w:val="20"/>
                <w:szCs w:val="20"/>
                <w:lang w:eastAsia="es-AR"/>
              </w:rPr>
              <w:t>Itaú Valores S.A.</w:t>
            </w:r>
          </w:p>
          <w:p w14:paraId="4FE1608F" w14:textId="77777777" w:rsidR="005C1563" w:rsidRPr="004315B9" w:rsidRDefault="005C1563" w:rsidP="005C1563">
            <w:pPr>
              <w:autoSpaceDE w:val="0"/>
              <w:autoSpaceDN w:val="0"/>
              <w:adjustRightInd w:val="0"/>
              <w:spacing w:after="0" w:line="240" w:lineRule="auto"/>
              <w:contextualSpacing/>
              <w:rPr>
                <w:rFonts w:asciiTheme="majorBidi" w:hAnsiTheme="majorBidi" w:cstheme="majorBidi"/>
                <w:bCs/>
                <w:sz w:val="20"/>
                <w:szCs w:val="20"/>
                <w:lang w:eastAsia="es-AR"/>
              </w:rPr>
            </w:pPr>
          </w:p>
          <w:p w14:paraId="7DCE32AD" w14:textId="77777777" w:rsidR="00B8242D" w:rsidRPr="004315B9" w:rsidRDefault="00B8242D" w:rsidP="005C1563">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Agente de Liquidación y Compensación y Agente de Negociación Integral Matrícula CNV N° 350</w:t>
            </w:r>
          </w:p>
          <w:p w14:paraId="6A7B0870"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Cs/>
                <w:sz w:val="20"/>
                <w:szCs w:val="20"/>
                <w:lang w:eastAsia="es-AR"/>
              </w:rPr>
              <w:t>Victoria Ocampo 360, Torre Sur, Piso 8, Ciudad Autónoma de Buenos Aires, Argentina</w:t>
            </w:r>
          </w:p>
        </w:tc>
        <w:tc>
          <w:tcPr>
            <w:tcW w:w="1237" w:type="pct"/>
          </w:tcPr>
          <w:p w14:paraId="0CFF989E"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val="en-US" w:eastAsia="es-AR"/>
              </w:rPr>
            </w:pPr>
            <w:r w:rsidRPr="004315B9">
              <w:rPr>
                <w:rFonts w:asciiTheme="majorBidi" w:hAnsiTheme="majorBidi" w:cstheme="majorBidi"/>
                <w:b/>
                <w:sz w:val="20"/>
                <w:szCs w:val="20"/>
                <w:lang w:val="en-US" w:eastAsia="es-AR"/>
              </w:rPr>
              <w:t xml:space="preserve">Bull Market Brokers S.A. </w:t>
            </w:r>
          </w:p>
          <w:p w14:paraId="14422DEF" w14:textId="77777777" w:rsidR="005C1563" w:rsidRPr="00715ED9" w:rsidRDefault="005C1563" w:rsidP="005C1563">
            <w:pPr>
              <w:autoSpaceDE w:val="0"/>
              <w:autoSpaceDN w:val="0"/>
              <w:adjustRightInd w:val="0"/>
              <w:spacing w:after="0" w:line="240" w:lineRule="auto"/>
              <w:contextualSpacing/>
              <w:rPr>
                <w:rFonts w:asciiTheme="majorBidi" w:hAnsiTheme="majorBidi" w:cstheme="majorBidi"/>
                <w:bCs/>
                <w:sz w:val="20"/>
                <w:szCs w:val="20"/>
                <w:lang w:val="en-US" w:eastAsia="es-AR"/>
              </w:rPr>
            </w:pPr>
          </w:p>
          <w:p w14:paraId="2D2CBF51" w14:textId="1633D5E3" w:rsidR="00B8242D" w:rsidRPr="004315B9" w:rsidRDefault="00B8242D" w:rsidP="005C1563">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Bouchard 680</w:t>
            </w:r>
            <w:r w:rsidR="005C1563" w:rsidRPr="004315B9">
              <w:rPr>
                <w:rFonts w:asciiTheme="majorBidi" w:hAnsiTheme="majorBidi" w:cstheme="majorBidi"/>
                <w:bCs/>
                <w:sz w:val="20"/>
                <w:szCs w:val="20"/>
                <w:lang w:eastAsia="es-AR"/>
              </w:rPr>
              <w:t>,</w:t>
            </w:r>
            <w:r w:rsidRPr="004315B9">
              <w:rPr>
                <w:rFonts w:asciiTheme="majorBidi" w:hAnsiTheme="majorBidi" w:cstheme="majorBidi"/>
                <w:bCs/>
                <w:sz w:val="20"/>
                <w:szCs w:val="20"/>
                <w:lang w:eastAsia="es-AR"/>
              </w:rPr>
              <w:t xml:space="preserve"> piso 8, Ciudad Autónoma de Buenos Aires, Argentina</w:t>
            </w:r>
          </w:p>
          <w:p w14:paraId="28B44E5C"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tc>
        <w:tc>
          <w:tcPr>
            <w:tcW w:w="1100" w:type="pct"/>
            <w:gridSpan w:val="2"/>
          </w:tcPr>
          <w:p w14:paraId="282EE149"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
                <w:sz w:val="20"/>
                <w:szCs w:val="20"/>
                <w:lang w:eastAsia="es-AR"/>
              </w:rPr>
              <w:t xml:space="preserve">SBS Trading S.A. </w:t>
            </w:r>
          </w:p>
          <w:p w14:paraId="29857A66"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p>
          <w:p w14:paraId="49E8F773" w14:textId="77777777" w:rsidR="005C1563" w:rsidRPr="004315B9" w:rsidRDefault="005C1563" w:rsidP="005C1563">
            <w:pPr>
              <w:autoSpaceDE w:val="0"/>
              <w:autoSpaceDN w:val="0"/>
              <w:adjustRightInd w:val="0"/>
              <w:spacing w:after="0" w:line="240" w:lineRule="auto"/>
              <w:contextualSpacing/>
              <w:rPr>
                <w:rFonts w:asciiTheme="majorBidi" w:hAnsiTheme="majorBidi" w:cstheme="majorBidi"/>
                <w:bCs/>
                <w:sz w:val="20"/>
                <w:szCs w:val="20"/>
                <w:lang w:eastAsia="es-AR"/>
              </w:rPr>
            </w:pPr>
          </w:p>
          <w:p w14:paraId="48A93106" w14:textId="77777777" w:rsidR="00B8242D" w:rsidRPr="004315B9" w:rsidRDefault="00B8242D" w:rsidP="005C1563">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 xml:space="preserve">Av. Eduardo Madero 900, Piso 19, Ciudad Autónoma de Buenos Aires, </w:t>
            </w:r>
          </w:p>
          <w:p w14:paraId="1DCA8D52"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Cs/>
                <w:sz w:val="20"/>
                <w:szCs w:val="20"/>
                <w:lang w:eastAsia="es-AR"/>
              </w:rPr>
              <w:t>Argentina</w:t>
            </w:r>
            <w:r w:rsidRPr="004315B9" w:rsidDel="00C94983">
              <w:rPr>
                <w:rFonts w:asciiTheme="majorBidi" w:hAnsiTheme="majorBidi" w:cstheme="majorBidi"/>
                <w:b/>
                <w:sz w:val="20"/>
                <w:szCs w:val="20"/>
                <w:lang w:eastAsia="es-AR"/>
              </w:rPr>
              <w:t xml:space="preserve"> </w:t>
            </w:r>
          </w:p>
        </w:tc>
        <w:tc>
          <w:tcPr>
            <w:tcW w:w="1733" w:type="pct"/>
            <w:gridSpan w:val="2"/>
          </w:tcPr>
          <w:tbl>
            <w:tblPr>
              <w:tblW w:w="5000" w:type="pct"/>
              <w:jc w:val="center"/>
              <w:tblLook w:val="04A0" w:firstRow="1" w:lastRow="0" w:firstColumn="1" w:lastColumn="0" w:noHBand="0" w:noVBand="1"/>
            </w:tblPr>
            <w:tblGrid>
              <w:gridCol w:w="3060"/>
            </w:tblGrid>
            <w:tr w:rsidR="00B8242D" w:rsidRPr="004315B9" w14:paraId="4E866A93" w14:textId="77777777" w:rsidTr="0053763D">
              <w:trPr>
                <w:jc w:val="center"/>
              </w:trPr>
              <w:tc>
                <w:tcPr>
                  <w:tcW w:w="1252" w:type="pct"/>
                  <w:vAlign w:val="center"/>
                </w:tcPr>
                <w:p w14:paraId="7E9C556E"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
                      <w:sz w:val="20"/>
                      <w:szCs w:val="20"/>
                      <w:lang w:eastAsia="es-AR"/>
                    </w:rPr>
                    <w:t>Industrial Valores S.A.</w:t>
                  </w:r>
                </w:p>
              </w:tc>
            </w:tr>
            <w:tr w:rsidR="00B8242D" w:rsidRPr="004315B9" w14:paraId="441CC57F" w14:textId="77777777" w:rsidTr="0053763D">
              <w:trPr>
                <w:trHeight w:val="1453"/>
                <w:jc w:val="center"/>
              </w:trPr>
              <w:tc>
                <w:tcPr>
                  <w:tcW w:w="1252" w:type="pct"/>
                  <w:vAlign w:val="center"/>
                </w:tcPr>
                <w:p w14:paraId="0969D783" w14:textId="77777777" w:rsidR="005C1563" w:rsidRPr="004315B9" w:rsidRDefault="005C1563" w:rsidP="0053763D">
                  <w:pPr>
                    <w:autoSpaceDE w:val="0"/>
                    <w:autoSpaceDN w:val="0"/>
                    <w:adjustRightInd w:val="0"/>
                    <w:spacing w:after="0" w:line="240" w:lineRule="auto"/>
                    <w:contextualSpacing/>
                    <w:jc w:val="center"/>
                    <w:rPr>
                      <w:rFonts w:asciiTheme="majorBidi" w:hAnsiTheme="majorBidi" w:cstheme="majorBidi"/>
                      <w:bCs/>
                      <w:sz w:val="20"/>
                      <w:szCs w:val="20"/>
                      <w:lang w:eastAsia="es-AR"/>
                    </w:rPr>
                  </w:pPr>
                </w:p>
                <w:p w14:paraId="3C7D832C" w14:textId="77777777" w:rsidR="005C1563" w:rsidRPr="004315B9" w:rsidRDefault="005C1563" w:rsidP="0053763D">
                  <w:pPr>
                    <w:autoSpaceDE w:val="0"/>
                    <w:autoSpaceDN w:val="0"/>
                    <w:adjustRightInd w:val="0"/>
                    <w:spacing w:after="0" w:line="240" w:lineRule="auto"/>
                    <w:contextualSpacing/>
                    <w:jc w:val="center"/>
                    <w:rPr>
                      <w:rFonts w:asciiTheme="majorBidi" w:hAnsiTheme="majorBidi" w:cstheme="majorBidi"/>
                      <w:bCs/>
                      <w:sz w:val="20"/>
                      <w:szCs w:val="20"/>
                      <w:lang w:eastAsia="es-AR"/>
                    </w:rPr>
                  </w:pPr>
                </w:p>
                <w:p w14:paraId="15B36EEF"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Cs/>
                      <w:sz w:val="20"/>
                      <w:szCs w:val="20"/>
                      <w:lang w:eastAsia="es-AR"/>
                    </w:rPr>
                  </w:pPr>
                  <w:r w:rsidRPr="004315B9">
                    <w:rPr>
                      <w:rFonts w:asciiTheme="majorBidi" w:hAnsiTheme="majorBidi" w:cstheme="majorBidi"/>
                      <w:bCs/>
                      <w:sz w:val="20"/>
                      <w:szCs w:val="20"/>
                      <w:lang w:eastAsia="es-AR"/>
                    </w:rPr>
                    <w:t>Sarmiento 530, Piso 2º (C1041AAL)</w:t>
                  </w:r>
                </w:p>
                <w:p w14:paraId="1FB37F06" w14:textId="77777777" w:rsidR="00B8242D" w:rsidRPr="004315B9" w:rsidRDefault="00B8242D" w:rsidP="0053763D">
                  <w:pPr>
                    <w:autoSpaceDE w:val="0"/>
                    <w:autoSpaceDN w:val="0"/>
                    <w:adjustRightInd w:val="0"/>
                    <w:spacing w:after="0" w:line="240" w:lineRule="auto"/>
                    <w:contextualSpacing/>
                    <w:jc w:val="center"/>
                    <w:rPr>
                      <w:rFonts w:asciiTheme="majorBidi" w:hAnsiTheme="majorBidi" w:cstheme="majorBidi"/>
                      <w:b/>
                      <w:sz w:val="20"/>
                      <w:szCs w:val="20"/>
                      <w:lang w:eastAsia="es-AR"/>
                    </w:rPr>
                  </w:pPr>
                  <w:r w:rsidRPr="004315B9">
                    <w:rPr>
                      <w:rFonts w:asciiTheme="majorBidi" w:hAnsiTheme="majorBidi" w:cstheme="majorBidi"/>
                      <w:bCs/>
                      <w:sz w:val="20"/>
                      <w:szCs w:val="20"/>
                      <w:lang w:eastAsia="es-AR"/>
                    </w:rPr>
                    <w:t>Ciudad Autónoma de Buenos Aires, Argentina</w:t>
                  </w:r>
                </w:p>
              </w:tc>
            </w:tr>
          </w:tbl>
          <w:p w14:paraId="1ED17B72" w14:textId="77777777" w:rsidR="00B8242D" w:rsidRPr="004315B9" w:rsidRDefault="00B8242D" w:rsidP="0053763D">
            <w:pPr>
              <w:autoSpaceDE w:val="0"/>
              <w:autoSpaceDN w:val="0"/>
              <w:adjustRightInd w:val="0"/>
              <w:spacing w:after="0" w:line="240" w:lineRule="auto"/>
              <w:contextualSpacing/>
              <w:rPr>
                <w:rFonts w:asciiTheme="majorBidi" w:hAnsiTheme="majorBidi" w:cstheme="majorBidi"/>
                <w:b/>
                <w:sz w:val="20"/>
                <w:szCs w:val="20"/>
                <w:lang w:eastAsia="es-AR"/>
              </w:rPr>
            </w:pPr>
            <w:r w:rsidRPr="004315B9" w:rsidDel="00C94983">
              <w:rPr>
                <w:rFonts w:asciiTheme="majorBidi" w:hAnsiTheme="majorBidi" w:cstheme="majorBidi"/>
                <w:b/>
                <w:sz w:val="20"/>
                <w:szCs w:val="20"/>
                <w:lang w:eastAsia="es-AR"/>
              </w:rPr>
              <w:t xml:space="preserve"> </w:t>
            </w:r>
          </w:p>
        </w:tc>
      </w:tr>
    </w:tbl>
    <w:p w14:paraId="118A14D7" w14:textId="29E48D90" w:rsidR="00E056D0" w:rsidRPr="005A0678" w:rsidRDefault="00E056D0" w:rsidP="009E7A1B">
      <w:pPr>
        <w:tabs>
          <w:tab w:val="left" w:pos="6340"/>
        </w:tabs>
        <w:ind w:right="-2"/>
        <w:rPr>
          <w:rFonts w:ascii="Times New Roman" w:hAnsi="Times New Roman" w:cs="Times New Roman"/>
          <w:sz w:val="20"/>
          <w:szCs w:val="20"/>
        </w:rPr>
      </w:pPr>
    </w:p>
    <w:p w14:paraId="4C809BC0" w14:textId="408DBA0D" w:rsidR="006A4B87" w:rsidRPr="005A0678" w:rsidRDefault="006A4B87" w:rsidP="006A4B87">
      <w:pPr>
        <w:spacing w:before="120" w:after="120" w:line="8" w:lineRule="atLeast"/>
        <w:ind w:right="-1"/>
        <w:jc w:val="center"/>
        <w:rPr>
          <w:rFonts w:ascii="Times New Roman" w:hAnsi="Times New Roman" w:cs="Times New Roman"/>
          <w:sz w:val="20"/>
          <w:szCs w:val="20"/>
        </w:rPr>
      </w:pPr>
      <w:r w:rsidRPr="005A0678">
        <w:rPr>
          <w:rFonts w:ascii="Times New Roman" w:hAnsi="Times New Roman" w:cs="Times New Roman"/>
          <w:sz w:val="20"/>
          <w:szCs w:val="20"/>
        </w:rPr>
        <w:t xml:space="preserve">La fecha del presente Aviso </w:t>
      </w:r>
      <w:r w:rsidR="009B7B8A">
        <w:rPr>
          <w:rFonts w:ascii="Times New Roman" w:hAnsi="Times New Roman" w:cs="Times New Roman"/>
          <w:sz w:val="20"/>
          <w:szCs w:val="20"/>
        </w:rPr>
        <w:t xml:space="preserve">de Resultados </w:t>
      </w:r>
      <w:r w:rsidR="00631B9A">
        <w:rPr>
          <w:rFonts w:ascii="Times New Roman" w:hAnsi="Times New Roman" w:cs="Times New Roman"/>
          <w:sz w:val="20"/>
          <w:szCs w:val="20"/>
        </w:rPr>
        <w:t>es 5</w:t>
      </w:r>
      <w:r w:rsidRPr="005A0678">
        <w:rPr>
          <w:rFonts w:ascii="Times New Roman" w:hAnsi="Times New Roman" w:cs="Times New Roman"/>
          <w:sz w:val="20"/>
          <w:szCs w:val="20"/>
        </w:rPr>
        <w:t xml:space="preserve"> de </w:t>
      </w:r>
      <w:r w:rsidR="005C1563">
        <w:rPr>
          <w:rFonts w:ascii="Times New Roman" w:hAnsi="Times New Roman" w:cs="Times New Roman"/>
          <w:sz w:val="20"/>
          <w:szCs w:val="20"/>
        </w:rPr>
        <w:t>jul</w:t>
      </w:r>
      <w:r w:rsidR="00B8242D">
        <w:rPr>
          <w:rFonts w:ascii="Times New Roman" w:hAnsi="Times New Roman" w:cs="Times New Roman"/>
          <w:sz w:val="20"/>
          <w:szCs w:val="20"/>
        </w:rPr>
        <w:t>io de 2021</w:t>
      </w:r>
      <w:r w:rsidRPr="005A0678">
        <w:rPr>
          <w:rFonts w:ascii="Times New Roman" w:hAnsi="Times New Roman" w:cs="Times New Roman"/>
          <w:sz w:val="20"/>
          <w:szCs w:val="20"/>
        </w:rPr>
        <w:t>.</w:t>
      </w:r>
    </w:p>
    <w:p w14:paraId="478FB849" w14:textId="77777777" w:rsidR="00E056D0" w:rsidRPr="005A0678" w:rsidRDefault="00E056D0" w:rsidP="00E056D0">
      <w:pPr>
        <w:ind w:right="-2"/>
        <w:rPr>
          <w:rFonts w:ascii="Times New Roman" w:hAnsi="Times New Roman" w:cs="Times New Roman"/>
          <w:b/>
          <w:color w:val="000000"/>
          <w:sz w:val="20"/>
          <w:szCs w:val="20"/>
        </w:rPr>
      </w:pPr>
    </w:p>
    <w:p w14:paraId="6F9D9192" w14:textId="77777777" w:rsidR="00E056D0" w:rsidRPr="005A0678" w:rsidRDefault="00E056D0" w:rsidP="00E056D0">
      <w:pPr>
        <w:ind w:right="-2"/>
        <w:rPr>
          <w:rFonts w:ascii="Times New Roman" w:hAnsi="Times New Roman" w:cs="Times New Roman"/>
          <w:b/>
          <w:color w:val="000000"/>
          <w:sz w:val="20"/>
          <w:szCs w:val="20"/>
        </w:rPr>
      </w:pPr>
    </w:p>
    <w:p w14:paraId="0AE69211" w14:textId="77777777" w:rsidR="00E056D0" w:rsidRPr="005A0678" w:rsidRDefault="00E056D0" w:rsidP="00E056D0">
      <w:pPr>
        <w:ind w:right="-2"/>
        <w:jc w:val="center"/>
        <w:rPr>
          <w:rFonts w:ascii="Times New Roman" w:hAnsi="Times New Roman" w:cs="Times New Roman"/>
          <w:b/>
          <w:color w:val="000000"/>
          <w:sz w:val="20"/>
          <w:szCs w:val="20"/>
        </w:rPr>
      </w:pPr>
      <w:r w:rsidRPr="005A0678">
        <w:rPr>
          <w:rFonts w:ascii="Times New Roman" w:hAnsi="Times New Roman" w:cs="Times New Roman"/>
          <w:b/>
          <w:color w:val="000000"/>
          <w:sz w:val="20"/>
          <w:szCs w:val="20"/>
        </w:rPr>
        <w:t>________________________________________</w:t>
      </w:r>
    </w:p>
    <w:p w14:paraId="3BA56D42" w14:textId="77777777" w:rsidR="00807CA5" w:rsidRDefault="00807CA5" w:rsidP="00807CA5">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Matías Iván Gaivironsky</w:t>
      </w:r>
    </w:p>
    <w:p w14:paraId="6A2CD9B7" w14:textId="4A427332" w:rsidR="00CF1D83" w:rsidRPr="005A0678" w:rsidRDefault="00304B8B" w:rsidP="00E056D0">
      <w:pPr>
        <w:ind w:right="-2"/>
        <w:jc w:val="center"/>
        <w:rPr>
          <w:rFonts w:ascii="Times New Roman" w:hAnsi="Times New Roman" w:cs="Times New Roman"/>
          <w:color w:val="000000"/>
          <w:sz w:val="20"/>
          <w:szCs w:val="20"/>
        </w:rPr>
      </w:pPr>
      <w:r w:rsidRPr="005A0678">
        <w:rPr>
          <w:rFonts w:ascii="Times New Roman" w:hAnsi="Times New Roman" w:cs="Times New Roman"/>
          <w:color w:val="000000"/>
          <w:sz w:val="20"/>
          <w:szCs w:val="20"/>
        </w:rPr>
        <w:t>Subdelegado</w:t>
      </w:r>
    </w:p>
    <w:sectPr w:rsidR="00CF1D83" w:rsidRPr="005A0678" w:rsidSect="009F445B">
      <w:headerReference w:type="default" r:id="rId14"/>
      <w:footerReference w:type="default" r:id="rId15"/>
      <w:type w:val="continuous"/>
      <w:pgSz w:w="11906" w:h="16838" w:code="9"/>
      <w:pgMar w:top="1417" w:right="1133" w:bottom="709" w:left="1134" w:header="720" w:footer="447"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106E2" w14:textId="77777777" w:rsidR="00F4614A" w:rsidRDefault="00F4614A">
      <w:pPr>
        <w:spacing w:after="0" w:line="240" w:lineRule="auto"/>
      </w:pPr>
      <w:r>
        <w:separator/>
      </w:r>
    </w:p>
  </w:endnote>
  <w:endnote w:type="continuationSeparator" w:id="0">
    <w:p w14:paraId="0488064E" w14:textId="77777777" w:rsidR="00F4614A" w:rsidRDefault="00F4614A">
      <w:pPr>
        <w:spacing w:after="0" w:line="240" w:lineRule="auto"/>
      </w:pPr>
      <w:r>
        <w:continuationSeparator/>
      </w:r>
    </w:p>
  </w:endnote>
  <w:endnote w:type="continuationNotice" w:id="1">
    <w:p w14:paraId="072B47C8" w14:textId="77777777" w:rsidR="00F4614A" w:rsidRDefault="00F46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376C3" w14:textId="77777777" w:rsidR="004B4182" w:rsidRDefault="004B4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0D8A3" w14:textId="77777777" w:rsidR="00F4614A" w:rsidRDefault="00F4614A">
      <w:pPr>
        <w:spacing w:after="0" w:line="240" w:lineRule="auto"/>
      </w:pPr>
      <w:r>
        <w:separator/>
      </w:r>
    </w:p>
  </w:footnote>
  <w:footnote w:type="continuationSeparator" w:id="0">
    <w:p w14:paraId="4F8D87B2" w14:textId="77777777" w:rsidR="00F4614A" w:rsidRDefault="00F4614A">
      <w:pPr>
        <w:spacing w:after="0" w:line="240" w:lineRule="auto"/>
      </w:pPr>
      <w:r>
        <w:continuationSeparator/>
      </w:r>
    </w:p>
  </w:footnote>
  <w:footnote w:type="continuationNotice" w:id="1">
    <w:p w14:paraId="02D08C0A" w14:textId="77777777" w:rsidR="00F4614A" w:rsidRDefault="00F461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B63E0" w14:textId="772DE510" w:rsidR="00E878B5" w:rsidRPr="00585E59" w:rsidRDefault="00E878B5" w:rsidP="00585E59">
    <w:pPr>
      <w:pStyle w:val="Header"/>
      <w:jc w:val="right"/>
      <w:rPr>
        <w:i/>
      </w:rPr>
    </w:pPr>
    <w:r>
      <w:tab/>
    </w:r>
    <w:r>
      <w:tab/>
    </w:r>
  </w:p>
  <w:p w14:paraId="71764E08" w14:textId="77777777" w:rsidR="00E878B5" w:rsidRDefault="00E87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6FDC"/>
    <w:multiLevelType w:val="hybridMultilevel"/>
    <w:tmpl w:val="C31820EC"/>
    <w:lvl w:ilvl="0" w:tplc="4046160A">
      <w:start w:val="1"/>
      <w:numFmt w:val="decimal"/>
      <w:lvlText w:val="%1."/>
      <w:lvlJc w:val="left"/>
      <w:pPr>
        <w:ind w:left="720" w:hanging="360"/>
      </w:pPr>
      <w:rPr>
        <w:rFonts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655C90"/>
    <w:multiLevelType w:val="hybridMultilevel"/>
    <w:tmpl w:val="7C7898D2"/>
    <w:lvl w:ilvl="0" w:tplc="25440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076DC"/>
    <w:multiLevelType w:val="hybridMultilevel"/>
    <w:tmpl w:val="A510DFDA"/>
    <w:lvl w:ilvl="0" w:tplc="956A820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39C3EC0"/>
    <w:multiLevelType w:val="hybridMultilevel"/>
    <w:tmpl w:val="47E6A9EC"/>
    <w:lvl w:ilvl="0" w:tplc="BF92DC2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C7417B9"/>
    <w:multiLevelType w:val="hybridMultilevel"/>
    <w:tmpl w:val="47E6A9EC"/>
    <w:lvl w:ilvl="0" w:tplc="BF92DC2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6662EE7"/>
    <w:multiLevelType w:val="hybridMultilevel"/>
    <w:tmpl w:val="92822CC6"/>
    <w:lvl w:ilvl="0" w:tplc="01BE2B5A">
      <w:start w:val="1"/>
      <w:numFmt w:val="lowerLetter"/>
      <w:lvlText w:val="(%1)"/>
      <w:lvlJc w:val="left"/>
      <w:pPr>
        <w:ind w:left="2055" w:hanging="169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82824DC"/>
    <w:multiLevelType w:val="hybridMultilevel"/>
    <w:tmpl w:val="A0880D0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9D044D4"/>
    <w:multiLevelType w:val="hybridMultilevel"/>
    <w:tmpl w:val="A510DFDA"/>
    <w:lvl w:ilvl="0" w:tplc="956A820C">
      <w:start w:val="1"/>
      <w:numFmt w:val="decimal"/>
      <w:lvlText w:val="%1."/>
      <w:lvlJc w:val="lef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3E26CBF"/>
    <w:multiLevelType w:val="hybridMultilevel"/>
    <w:tmpl w:val="5FFE0E62"/>
    <w:lvl w:ilvl="0" w:tplc="2C0A0011">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77051A4"/>
    <w:multiLevelType w:val="hybridMultilevel"/>
    <w:tmpl w:val="6D2E1044"/>
    <w:lvl w:ilvl="0" w:tplc="61C0859A">
      <w:start w:val="1"/>
      <w:numFmt w:val="lowerRoman"/>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B153511"/>
    <w:multiLevelType w:val="hybridMultilevel"/>
    <w:tmpl w:val="47E6A9EC"/>
    <w:lvl w:ilvl="0" w:tplc="BF92DC2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9"/>
  </w:num>
  <w:num w:numId="5">
    <w:abstractNumId w:val="3"/>
  </w:num>
  <w:num w:numId="6">
    <w:abstractNumId w:val="4"/>
  </w:num>
  <w:num w:numId="7">
    <w:abstractNumId w:val="10"/>
  </w:num>
  <w:num w:numId="8">
    <w:abstractNumId w:val="8"/>
  </w:num>
  <w:num w:numId="9">
    <w:abstractNumId w:val="7"/>
  </w:num>
  <w:num w:numId="10">
    <w:abstractNumId w:val="2"/>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d17412ee1db9b1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53"/>
    <w:rsid w:val="00003045"/>
    <w:rsid w:val="00005E13"/>
    <w:rsid w:val="000075DF"/>
    <w:rsid w:val="00011A45"/>
    <w:rsid w:val="00012D4F"/>
    <w:rsid w:val="00040E36"/>
    <w:rsid w:val="000417D3"/>
    <w:rsid w:val="000477B0"/>
    <w:rsid w:val="00050EE5"/>
    <w:rsid w:val="0005797A"/>
    <w:rsid w:val="00067E98"/>
    <w:rsid w:val="000701CB"/>
    <w:rsid w:val="00073084"/>
    <w:rsid w:val="00080047"/>
    <w:rsid w:val="000865BD"/>
    <w:rsid w:val="00086A27"/>
    <w:rsid w:val="00087A3D"/>
    <w:rsid w:val="00090F24"/>
    <w:rsid w:val="000944DB"/>
    <w:rsid w:val="000A5B9C"/>
    <w:rsid w:val="000B1D01"/>
    <w:rsid w:val="000C27D2"/>
    <w:rsid w:val="000C63C1"/>
    <w:rsid w:val="000E775C"/>
    <w:rsid w:val="000F03A3"/>
    <w:rsid w:val="000F4DCF"/>
    <w:rsid w:val="00102C88"/>
    <w:rsid w:val="001031B4"/>
    <w:rsid w:val="00114A87"/>
    <w:rsid w:val="00123DD3"/>
    <w:rsid w:val="001266DC"/>
    <w:rsid w:val="00127ADA"/>
    <w:rsid w:val="001337AA"/>
    <w:rsid w:val="00136EB3"/>
    <w:rsid w:val="00137060"/>
    <w:rsid w:val="00145BB6"/>
    <w:rsid w:val="001609B3"/>
    <w:rsid w:val="0016410E"/>
    <w:rsid w:val="00164E17"/>
    <w:rsid w:val="00170F8E"/>
    <w:rsid w:val="00173F08"/>
    <w:rsid w:val="00182E8A"/>
    <w:rsid w:val="0018721D"/>
    <w:rsid w:val="0019111A"/>
    <w:rsid w:val="00194CD8"/>
    <w:rsid w:val="00195A18"/>
    <w:rsid w:val="001A2F05"/>
    <w:rsid w:val="001A2FDD"/>
    <w:rsid w:val="001A500E"/>
    <w:rsid w:val="001A78FC"/>
    <w:rsid w:val="001C14A5"/>
    <w:rsid w:val="001C1814"/>
    <w:rsid w:val="001C5DA7"/>
    <w:rsid w:val="001C65DC"/>
    <w:rsid w:val="001C737B"/>
    <w:rsid w:val="001F1DE0"/>
    <w:rsid w:val="001F2FD3"/>
    <w:rsid w:val="001F41B2"/>
    <w:rsid w:val="001F5F82"/>
    <w:rsid w:val="001F748B"/>
    <w:rsid w:val="002112D7"/>
    <w:rsid w:val="00211E9D"/>
    <w:rsid w:val="00215F50"/>
    <w:rsid w:val="0022070C"/>
    <w:rsid w:val="00227910"/>
    <w:rsid w:val="00234713"/>
    <w:rsid w:val="00237E93"/>
    <w:rsid w:val="00245853"/>
    <w:rsid w:val="00245AA9"/>
    <w:rsid w:val="00253379"/>
    <w:rsid w:val="00260593"/>
    <w:rsid w:val="00280014"/>
    <w:rsid w:val="0028521F"/>
    <w:rsid w:val="002934DF"/>
    <w:rsid w:val="002A0085"/>
    <w:rsid w:val="002A2753"/>
    <w:rsid w:val="002A3EA4"/>
    <w:rsid w:val="002B2D30"/>
    <w:rsid w:val="002C5836"/>
    <w:rsid w:val="002D5724"/>
    <w:rsid w:val="002D67F8"/>
    <w:rsid w:val="002E25D8"/>
    <w:rsid w:val="002E6B8E"/>
    <w:rsid w:val="002F4078"/>
    <w:rsid w:val="002F4D2B"/>
    <w:rsid w:val="002F5675"/>
    <w:rsid w:val="00304B8B"/>
    <w:rsid w:val="003138E8"/>
    <w:rsid w:val="0032100C"/>
    <w:rsid w:val="00325F49"/>
    <w:rsid w:val="003308A5"/>
    <w:rsid w:val="0033200C"/>
    <w:rsid w:val="0033509D"/>
    <w:rsid w:val="00335DF9"/>
    <w:rsid w:val="0034070A"/>
    <w:rsid w:val="0035541D"/>
    <w:rsid w:val="0036560A"/>
    <w:rsid w:val="00373CFB"/>
    <w:rsid w:val="003914B7"/>
    <w:rsid w:val="003A1FD4"/>
    <w:rsid w:val="003B7D42"/>
    <w:rsid w:val="003C31CC"/>
    <w:rsid w:val="003D0E6A"/>
    <w:rsid w:val="003D3877"/>
    <w:rsid w:val="003E7E35"/>
    <w:rsid w:val="003F0565"/>
    <w:rsid w:val="003F28B9"/>
    <w:rsid w:val="003F3F27"/>
    <w:rsid w:val="00402BEF"/>
    <w:rsid w:val="00406C5A"/>
    <w:rsid w:val="0040752A"/>
    <w:rsid w:val="00416AFA"/>
    <w:rsid w:val="00420CC5"/>
    <w:rsid w:val="004315B9"/>
    <w:rsid w:val="00434E0D"/>
    <w:rsid w:val="00435276"/>
    <w:rsid w:val="00446308"/>
    <w:rsid w:val="00447046"/>
    <w:rsid w:val="00452977"/>
    <w:rsid w:val="004651DE"/>
    <w:rsid w:val="00465F03"/>
    <w:rsid w:val="004662F9"/>
    <w:rsid w:val="004722A8"/>
    <w:rsid w:val="00474345"/>
    <w:rsid w:val="00474A2C"/>
    <w:rsid w:val="00486DFF"/>
    <w:rsid w:val="004940EB"/>
    <w:rsid w:val="00495E87"/>
    <w:rsid w:val="004A124B"/>
    <w:rsid w:val="004B4182"/>
    <w:rsid w:val="004B797F"/>
    <w:rsid w:val="004C3814"/>
    <w:rsid w:val="004C4BE6"/>
    <w:rsid w:val="004D22B6"/>
    <w:rsid w:val="004D481B"/>
    <w:rsid w:val="004E287C"/>
    <w:rsid w:val="004E79DC"/>
    <w:rsid w:val="004F473C"/>
    <w:rsid w:val="004F653A"/>
    <w:rsid w:val="004F6F3A"/>
    <w:rsid w:val="005063D2"/>
    <w:rsid w:val="00512E7F"/>
    <w:rsid w:val="0051400D"/>
    <w:rsid w:val="00520CD8"/>
    <w:rsid w:val="00521EB7"/>
    <w:rsid w:val="00524B12"/>
    <w:rsid w:val="005252C1"/>
    <w:rsid w:val="005254FF"/>
    <w:rsid w:val="00534E2E"/>
    <w:rsid w:val="005425C6"/>
    <w:rsid w:val="005444E6"/>
    <w:rsid w:val="00545D28"/>
    <w:rsid w:val="00553518"/>
    <w:rsid w:val="005540BA"/>
    <w:rsid w:val="00554428"/>
    <w:rsid w:val="00554D60"/>
    <w:rsid w:val="00554F91"/>
    <w:rsid w:val="005557FA"/>
    <w:rsid w:val="005565E3"/>
    <w:rsid w:val="00572E9B"/>
    <w:rsid w:val="005731ED"/>
    <w:rsid w:val="00576C12"/>
    <w:rsid w:val="00577A56"/>
    <w:rsid w:val="00585E59"/>
    <w:rsid w:val="00593BCF"/>
    <w:rsid w:val="00597176"/>
    <w:rsid w:val="005A0678"/>
    <w:rsid w:val="005A0CC8"/>
    <w:rsid w:val="005B2B89"/>
    <w:rsid w:val="005C1563"/>
    <w:rsid w:val="005C15D6"/>
    <w:rsid w:val="005C1643"/>
    <w:rsid w:val="005C75E4"/>
    <w:rsid w:val="005C78E2"/>
    <w:rsid w:val="005E09E3"/>
    <w:rsid w:val="005E5D4A"/>
    <w:rsid w:val="005E7AA5"/>
    <w:rsid w:val="00610DFF"/>
    <w:rsid w:val="006231C5"/>
    <w:rsid w:val="006274E1"/>
    <w:rsid w:val="00630C45"/>
    <w:rsid w:val="00631B9A"/>
    <w:rsid w:val="00633310"/>
    <w:rsid w:val="00656059"/>
    <w:rsid w:val="0065697E"/>
    <w:rsid w:val="00656FFE"/>
    <w:rsid w:val="0066108A"/>
    <w:rsid w:val="006613E8"/>
    <w:rsid w:val="00663BBE"/>
    <w:rsid w:val="00666CDA"/>
    <w:rsid w:val="00667D19"/>
    <w:rsid w:val="006713E4"/>
    <w:rsid w:val="006726C2"/>
    <w:rsid w:val="00677ECC"/>
    <w:rsid w:val="006808F1"/>
    <w:rsid w:val="006816CB"/>
    <w:rsid w:val="00683F71"/>
    <w:rsid w:val="0069563E"/>
    <w:rsid w:val="006A4B87"/>
    <w:rsid w:val="006A572F"/>
    <w:rsid w:val="006A7AB9"/>
    <w:rsid w:val="006A7CC8"/>
    <w:rsid w:val="006B2E2F"/>
    <w:rsid w:val="006B634A"/>
    <w:rsid w:val="006C0676"/>
    <w:rsid w:val="006E4ADC"/>
    <w:rsid w:val="006F24BA"/>
    <w:rsid w:val="00705226"/>
    <w:rsid w:val="0070791D"/>
    <w:rsid w:val="00712619"/>
    <w:rsid w:val="00715ED9"/>
    <w:rsid w:val="00721015"/>
    <w:rsid w:val="007311B8"/>
    <w:rsid w:val="00732018"/>
    <w:rsid w:val="00735D94"/>
    <w:rsid w:val="00745932"/>
    <w:rsid w:val="00752791"/>
    <w:rsid w:val="007551CA"/>
    <w:rsid w:val="00755C12"/>
    <w:rsid w:val="00763E38"/>
    <w:rsid w:val="0076438E"/>
    <w:rsid w:val="00767091"/>
    <w:rsid w:val="00772266"/>
    <w:rsid w:val="00773D67"/>
    <w:rsid w:val="00774A88"/>
    <w:rsid w:val="007A231C"/>
    <w:rsid w:val="007A45A1"/>
    <w:rsid w:val="007C15E5"/>
    <w:rsid w:val="007C44DB"/>
    <w:rsid w:val="007D2599"/>
    <w:rsid w:val="007D49B1"/>
    <w:rsid w:val="007D5D4E"/>
    <w:rsid w:val="007F4855"/>
    <w:rsid w:val="0080270B"/>
    <w:rsid w:val="00807CA5"/>
    <w:rsid w:val="00814EF7"/>
    <w:rsid w:val="0081688C"/>
    <w:rsid w:val="00817984"/>
    <w:rsid w:val="00826505"/>
    <w:rsid w:val="00831737"/>
    <w:rsid w:val="00832C80"/>
    <w:rsid w:val="00835A92"/>
    <w:rsid w:val="0084208F"/>
    <w:rsid w:val="00842A45"/>
    <w:rsid w:val="00845CB8"/>
    <w:rsid w:val="00851992"/>
    <w:rsid w:val="008566D0"/>
    <w:rsid w:val="008633DB"/>
    <w:rsid w:val="00880EF0"/>
    <w:rsid w:val="008835B4"/>
    <w:rsid w:val="00885689"/>
    <w:rsid w:val="00890815"/>
    <w:rsid w:val="00891387"/>
    <w:rsid w:val="00892830"/>
    <w:rsid w:val="008966BA"/>
    <w:rsid w:val="008A39A0"/>
    <w:rsid w:val="008A42B0"/>
    <w:rsid w:val="008A5253"/>
    <w:rsid w:val="008B09CA"/>
    <w:rsid w:val="008B12D9"/>
    <w:rsid w:val="008B1C4E"/>
    <w:rsid w:val="008C00AD"/>
    <w:rsid w:val="008D10FA"/>
    <w:rsid w:val="008D2492"/>
    <w:rsid w:val="008D3376"/>
    <w:rsid w:val="008D3DFE"/>
    <w:rsid w:val="008D6920"/>
    <w:rsid w:val="008E1B63"/>
    <w:rsid w:val="008F1B84"/>
    <w:rsid w:val="008F724A"/>
    <w:rsid w:val="009143DB"/>
    <w:rsid w:val="0091455D"/>
    <w:rsid w:val="00920445"/>
    <w:rsid w:val="00923648"/>
    <w:rsid w:val="00924EBE"/>
    <w:rsid w:val="00931EC8"/>
    <w:rsid w:val="00932687"/>
    <w:rsid w:val="00932E76"/>
    <w:rsid w:val="009344C9"/>
    <w:rsid w:val="009348F9"/>
    <w:rsid w:val="00937C79"/>
    <w:rsid w:val="00941484"/>
    <w:rsid w:val="00941568"/>
    <w:rsid w:val="00961638"/>
    <w:rsid w:val="009660A3"/>
    <w:rsid w:val="00966C57"/>
    <w:rsid w:val="00975A2E"/>
    <w:rsid w:val="0098360A"/>
    <w:rsid w:val="00984131"/>
    <w:rsid w:val="009876CD"/>
    <w:rsid w:val="009A5E04"/>
    <w:rsid w:val="009A7904"/>
    <w:rsid w:val="009B7B8A"/>
    <w:rsid w:val="009D13AE"/>
    <w:rsid w:val="009D16D9"/>
    <w:rsid w:val="009D78E8"/>
    <w:rsid w:val="009E4EE9"/>
    <w:rsid w:val="009E7A1B"/>
    <w:rsid w:val="009F091C"/>
    <w:rsid w:val="009F2537"/>
    <w:rsid w:val="009F25E4"/>
    <w:rsid w:val="009F2878"/>
    <w:rsid w:val="009F445B"/>
    <w:rsid w:val="009F65DF"/>
    <w:rsid w:val="009F7EDD"/>
    <w:rsid w:val="00A0171B"/>
    <w:rsid w:val="00A0260D"/>
    <w:rsid w:val="00A029C9"/>
    <w:rsid w:val="00A068A2"/>
    <w:rsid w:val="00A07A2D"/>
    <w:rsid w:val="00A12B39"/>
    <w:rsid w:val="00A12CF4"/>
    <w:rsid w:val="00A273B9"/>
    <w:rsid w:val="00A3370C"/>
    <w:rsid w:val="00A40672"/>
    <w:rsid w:val="00A42BB3"/>
    <w:rsid w:val="00A524D1"/>
    <w:rsid w:val="00A67569"/>
    <w:rsid w:val="00A866E2"/>
    <w:rsid w:val="00AA1F1A"/>
    <w:rsid w:val="00AA3D0A"/>
    <w:rsid w:val="00AA6836"/>
    <w:rsid w:val="00AB207F"/>
    <w:rsid w:val="00AB7525"/>
    <w:rsid w:val="00AD7336"/>
    <w:rsid w:val="00AE6F0B"/>
    <w:rsid w:val="00AE7092"/>
    <w:rsid w:val="00AF3EB4"/>
    <w:rsid w:val="00B01338"/>
    <w:rsid w:val="00B11E94"/>
    <w:rsid w:val="00B15744"/>
    <w:rsid w:val="00B2116B"/>
    <w:rsid w:val="00B25FD3"/>
    <w:rsid w:val="00B27B81"/>
    <w:rsid w:val="00B3003B"/>
    <w:rsid w:val="00B32820"/>
    <w:rsid w:val="00B3414F"/>
    <w:rsid w:val="00B3606C"/>
    <w:rsid w:val="00B371E1"/>
    <w:rsid w:val="00B4052E"/>
    <w:rsid w:val="00B40AB5"/>
    <w:rsid w:val="00B41E53"/>
    <w:rsid w:val="00B422B2"/>
    <w:rsid w:val="00B4543C"/>
    <w:rsid w:val="00B47C87"/>
    <w:rsid w:val="00B7260B"/>
    <w:rsid w:val="00B74F81"/>
    <w:rsid w:val="00B8242D"/>
    <w:rsid w:val="00B863F6"/>
    <w:rsid w:val="00B915F5"/>
    <w:rsid w:val="00B91DB0"/>
    <w:rsid w:val="00B92D78"/>
    <w:rsid w:val="00B93017"/>
    <w:rsid w:val="00B9508B"/>
    <w:rsid w:val="00BA6287"/>
    <w:rsid w:val="00BB2812"/>
    <w:rsid w:val="00BB75CC"/>
    <w:rsid w:val="00BC3B0B"/>
    <w:rsid w:val="00BC4101"/>
    <w:rsid w:val="00BC7EE5"/>
    <w:rsid w:val="00BD4CD7"/>
    <w:rsid w:val="00BD4D8A"/>
    <w:rsid w:val="00BE0C26"/>
    <w:rsid w:val="00BF0011"/>
    <w:rsid w:val="00C11C66"/>
    <w:rsid w:val="00C1443F"/>
    <w:rsid w:val="00C20475"/>
    <w:rsid w:val="00C20898"/>
    <w:rsid w:val="00C226BA"/>
    <w:rsid w:val="00C26091"/>
    <w:rsid w:val="00C444DD"/>
    <w:rsid w:val="00C44A0D"/>
    <w:rsid w:val="00C61779"/>
    <w:rsid w:val="00C61859"/>
    <w:rsid w:val="00C62553"/>
    <w:rsid w:val="00C70703"/>
    <w:rsid w:val="00C729D9"/>
    <w:rsid w:val="00C81D10"/>
    <w:rsid w:val="00C8459A"/>
    <w:rsid w:val="00C847BC"/>
    <w:rsid w:val="00C8519D"/>
    <w:rsid w:val="00C8529D"/>
    <w:rsid w:val="00C87736"/>
    <w:rsid w:val="00C87C06"/>
    <w:rsid w:val="00C92F85"/>
    <w:rsid w:val="00CA6FA0"/>
    <w:rsid w:val="00CB0929"/>
    <w:rsid w:val="00CB5B78"/>
    <w:rsid w:val="00CB6E7E"/>
    <w:rsid w:val="00CC262A"/>
    <w:rsid w:val="00CD47F8"/>
    <w:rsid w:val="00CE2EEB"/>
    <w:rsid w:val="00CE6301"/>
    <w:rsid w:val="00CF13E6"/>
    <w:rsid w:val="00CF1D83"/>
    <w:rsid w:val="00D218AD"/>
    <w:rsid w:val="00D2366A"/>
    <w:rsid w:val="00D272A2"/>
    <w:rsid w:val="00D3723F"/>
    <w:rsid w:val="00D37888"/>
    <w:rsid w:val="00D623DC"/>
    <w:rsid w:val="00D63072"/>
    <w:rsid w:val="00D66752"/>
    <w:rsid w:val="00D670B3"/>
    <w:rsid w:val="00D744B9"/>
    <w:rsid w:val="00D800F6"/>
    <w:rsid w:val="00D902B2"/>
    <w:rsid w:val="00D91E8E"/>
    <w:rsid w:val="00D9237C"/>
    <w:rsid w:val="00DA6260"/>
    <w:rsid w:val="00DA6693"/>
    <w:rsid w:val="00DB6B54"/>
    <w:rsid w:val="00DC2B78"/>
    <w:rsid w:val="00DD46D6"/>
    <w:rsid w:val="00DD6ED2"/>
    <w:rsid w:val="00DE1871"/>
    <w:rsid w:val="00DE1FB5"/>
    <w:rsid w:val="00DF4F61"/>
    <w:rsid w:val="00DF74E9"/>
    <w:rsid w:val="00E004A9"/>
    <w:rsid w:val="00E01FC0"/>
    <w:rsid w:val="00E056D0"/>
    <w:rsid w:val="00E05A30"/>
    <w:rsid w:val="00E17C93"/>
    <w:rsid w:val="00E22772"/>
    <w:rsid w:val="00E263B7"/>
    <w:rsid w:val="00E366D8"/>
    <w:rsid w:val="00E541A0"/>
    <w:rsid w:val="00E62E39"/>
    <w:rsid w:val="00E63080"/>
    <w:rsid w:val="00E70064"/>
    <w:rsid w:val="00E719E6"/>
    <w:rsid w:val="00E72495"/>
    <w:rsid w:val="00E80258"/>
    <w:rsid w:val="00E8275E"/>
    <w:rsid w:val="00E82F38"/>
    <w:rsid w:val="00E860F0"/>
    <w:rsid w:val="00E878B5"/>
    <w:rsid w:val="00E90B2F"/>
    <w:rsid w:val="00E91C4D"/>
    <w:rsid w:val="00E928DE"/>
    <w:rsid w:val="00E945B6"/>
    <w:rsid w:val="00EB14E7"/>
    <w:rsid w:val="00EC27AF"/>
    <w:rsid w:val="00EC503C"/>
    <w:rsid w:val="00ED4086"/>
    <w:rsid w:val="00ED6F7A"/>
    <w:rsid w:val="00EE055B"/>
    <w:rsid w:val="00EE254B"/>
    <w:rsid w:val="00EE2830"/>
    <w:rsid w:val="00EE6C25"/>
    <w:rsid w:val="00EF04B6"/>
    <w:rsid w:val="00EF707B"/>
    <w:rsid w:val="00F0274B"/>
    <w:rsid w:val="00F065A7"/>
    <w:rsid w:val="00F07F95"/>
    <w:rsid w:val="00F20BF7"/>
    <w:rsid w:val="00F242E7"/>
    <w:rsid w:val="00F25875"/>
    <w:rsid w:val="00F45528"/>
    <w:rsid w:val="00F457DC"/>
    <w:rsid w:val="00F4614A"/>
    <w:rsid w:val="00F52D70"/>
    <w:rsid w:val="00F61585"/>
    <w:rsid w:val="00F640B2"/>
    <w:rsid w:val="00F643F0"/>
    <w:rsid w:val="00F71679"/>
    <w:rsid w:val="00F71B7C"/>
    <w:rsid w:val="00F726D7"/>
    <w:rsid w:val="00F95B00"/>
    <w:rsid w:val="00F96145"/>
    <w:rsid w:val="00F96C3B"/>
    <w:rsid w:val="00FB250C"/>
    <w:rsid w:val="00FC0149"/>
    <w:rsid w:val="00FC7843"/>
    <w:rsid w:val="00FD06DC"/>
    <w:rsid w:val="00FD0A4A"/>
    <w:rsid w:val="00FD4E0F"/>
    <w:rsid w:val="00FD667A"/>
    <w:rsid w:val="00FE0892"/>
    <w:rsid w:val="00FE5916"/>
    <w:rsid w:val="00FF0037"/>
    <w:rsid w:val="00FF2C63"/>
    <w:rsid w:val="00FF4947"/>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1"/>
    <w:uiPriority w:val="9"/>
    <w:qFormat/>
    <w:rsid w:val="00763E38"/>
    <w:pPr>
      <w:keepNext/>
      <w:spacing w:after="0" w:line="240" w:lineRule="auto"/>
      <w:jc w:val="center"/>
      <w:outlineLvl w:val="4"/>
    </w:pPr>
    <w:rPr>
      <w:rFonts w:ascii="CG Times (W1)" w:eastAsia="Times New Roman" w:hAnsi="CG Times (W1)" w:cs="Times New Roman"/>
      <w:b/>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287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FooterChar">
    <w:name w:val="Footer Char"/>
    <w:basedOn w:val="DefaultParagraphFont"/>
    <w:link w:val="Footer"/>
    <w:rsid w:val="009F2878"/>
    <w:rPr>
      <w:rFonts w:ascii="Times New Roman" w:eastAsia="Times New Roman" w:hAnsi="Times New Roman" w:cs="Times New Roman"/>
      <w:sz w:val="20"/>
      <w:szCs w:val="20"/>
      <w:lang w:val="es-ES" w:eastAsia="es-ES"/>
    </w:rPr>
  </w:style>
  <w:style w:type="character" w:styleId="PageNumber">
    <w:name w:val="page number"/>
    <w:basedOn w:val="DefaultParagraphFont"/>
    <w:rsid w:val="009F2878"/>
  </w:style>
  <w:style w:type="character" w:styleId="Hyperlink">
    <w:name w:val="Hyperlink"/>
    <w:uiPriority w:val="99"/>
    <w:unhideWhenUsed/>
    <w:rsid w:val="009F2878"/>
    <w:rPr>
      <w:color w:val="0000FF"/>
      <w:u w:val="single"/>
    </w:rPr>
  </w:style>
  <w:style w:type="paragraph" w:customStyle="1" w:styleId="BHTexto">
    <w:name w:val="BH Texto"/>
    <w:basedOn w:val="Normal"/>
    <w:link w:val="BHTextoCar"/>
    <w:qFormat/>
    <w:rsid w:val="009F2878"/>
    <w:pPr>
      <w:autoSpaceDE w:val="0"/>
      <w:autoSpaceDN w:val="0"/>
      <w:adjustRightInd w:val="0"/>
      <w:spacing w:before="120" w:after="120" w:line="240" w:lineRule="auto"/>
      <w:jc w:val="both"/>
    </w:pPr>
    <w:rPr>
      <w:rFonts w:ascii="Times New Roman" w:eastAsia="Calibri" w:hAnsi="Times New Roman" w:cs="Times New Roman"/>
      <w:sz w:val="20"/>
      <w:szCs w:val="20"/>
      <w:lang w:val="en-US" w:eastAsia="es-AR"/>
    </w:rPr>
  </w:style>
  <w:style w:type="character" w:customStyle="1" w:styleId="BHTextoCar">
    <w:name w:val="BH Texto Car"/>
    <w:link w:val="BHTexto"/>
    <w:rsid w:val="009F2878"/>
    <w:rPr>
      <w:rFonts w:ascii="Times New Roman" w:eastAsia="Calibri" w:hAnsi="Times New Roman" w:cs="Times New Roman"/>
      <w:sz w:val="20"/>
      <w:szCs w:val="20"/>
      <w:lang w:val="en-US" w:eastAsia="es-AR"/>
    </w:rPr>
  </w:style>
  <w:style w:type="character" w:styleId="PlaceholderText">
    <w:name w:val="Placeholder Text"/>
    <w:basedOn w:val="DefaultParagraphFont"/>
    <w:uiPriority w:val="99"/>
    <w:semiHidden/>
    <w:rsid w:val="00773D67"/>
    <w:rPr>
      <w:color w:val="808080"/>
    </w:rPr>
  </w:style>
  <w:style w:type="paragraph" w:styleId="BalloonText">
    <w:name w:val="Balloon Text"/>
    <w:basedOn w:val="Normal"/>
    <w:link w:val="BalloonTextChar"/>
    <w:uiPriority w:val="99"/>
    <w:semiHidden/>
    <w:unhideWhenUsed/>
    <w:rsid w:val="00B37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E1"/>
    <w:rPr>
      <w:rFonts w:ascii="Segoe UI" w:hAnsi="Segoe UI" w:cs="Segoe UI"/>
      <w:sz w:val="18"/>
      <w:szCs w:val="18"/>
    </w:rPr>
  </w:style>
  <w:style w:type="table" w:styleId="TableGrid">
    <w:name w:val="Table Grid"/>
    <w:basedOn w:val="TableNormal"/>
    <w:uiPriority w:val="39"/>
    <w:rsid w:val="00B3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E17"/>
    <w:rPr>
      <w:sz w:val="16"/>
      <w:szCs w:val="16"/>
    </w:rPr>
  </w:style>
  <w:style w:type="paragraph" w:styleId="CommentText">
    <w:name w:val="annotation text"/>
    <w:basedOn w:val="Normal"/>
    <w:link w:val="CommentTextChar"/>
    <w:uiPriority w:val="99"/>
    <w:semiHidden/>
    <w:unhideWhenUsed/>
    <w:rsid w:val="00164E17"/>
    <w:pPr>
      <w:spacing w:line="240" w:lineRule="auto"/>
    </w:pPr>
    <w:rPr>
      <w:sz w:val="20"/>
      <w:szCs w:val="20"/>
    </w:rPr>
  </w:style>
  <w:style w:type="character" w:customStyle="1" w:styleId="CommentTextChar">
    <w:name w:val="Comment Text Char"/>
    <w:basedOn w:val="DefaultParagraphFont"/>
    <w:link w:val="CommentText"/>
    <w:uiPriority w:val="99"/>
    <w:semiHidden/>
    <w:rsid w:val="00164E17"/>
    <w:rPr>
      <w:sz w:val="20"/>
      <w:szCs w:val="20"/>
    </w:rPr>
  </w:style>
  <w:style w:type="paragraph" w:styleId="CommentSubject">
    <w:name w:val="annotation subject"/>
    <w:basedOn w:val="CommentText"/>
    <w:next w:val="CommentText"/>
    <w:link w:val="CommentSubjectChar"/>
    <w:uiPriority w:val="99"/>
    <w:semiHidden/>
    <w:unhideWhenUsed/>
    <w:rsid w:val="00164E17"/>
    <w:rPr>
      <w:b/>
      <w:bCs/>
    </w:rPr>
  </w:style>
  <w:style w:type="character" w:customStyle="1" w:styleId="CommentSubjectChar">
    <w:name w:val="Comment Subject Char"/>
    <w:basedOn w:val="CommentTextChar"/>
    <w:link w:val="CommentSubject"/>
    <w:uiPriority w:val="99"/>
    <w:semiHidden/>
    <w:rsid w:val="00164E17"/>
    <w:rPr>
      <w:b/>
      <w:bCs/>
      <w:sz w:val="20"/>
      <w:szCs w:val="20"/>
    </w:rPr>
  </w:style>
  <w:style w:type="paragraph" w:styleId="ListParagraph">
    <w:name w:val="List Paragraph"/>
    <w:basedOn w:val="Normal"/>
    <w:uiPriority w:val="34"/>
    <w:qFormat/>
    <w:rsid w:val="006F24BA"/>
    <w:pPr>
      <w:ind w:left="720"/>
      <w:contextualSpacing/>
    </w:pPr>
  </w:style>
  <w:style w:type="paragraph" w:styleId="Revision">
    <w:name w:val="Revision"/>
    <w:hidden/>
    <w:uiPriority w:val="99"/>
    <w:semiHidden/>
    <w:rsid w:val="009F445B"/>
    <w:pPr>
      <w:spacing w:after="0" w:line="240" w:lineRule="auto"/>
    </w:pPr>
  </w:style>
  <w:style w:type="paragraph" w:customStyle="1" w:styleId="Default">
    <w:name w:val="Default"/>
    <w:rsid w:val="0073201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aliases w:val="encabezado"/>
    <w:basedOn w:val="Normal"/>
    <w:link w:val="HeaderChar"/>
    <w:uiPriority w:val="99"/>
    <w:unhideWhenUsed/>
    <w:qFormat/>
    <w:rsid w:val="00E878B5"/>
    <w:pPr>
      <w:tabs>
        <w:tab w:val="center" w:pos="4252"/>
        <w:tab w:val="right" w:pos="8504"/>
      </w:tabs>
      <w:spacing w:after="0" w:line="240" w:lineRule="auto"/>
    </w:pPr>
  </w:style>
  <w:style w:type="character" w:customStyle="1" w:styleId="HeaderChar">
    <w:name w:val="Header Char"/>
    <w:aliases w:val="encabezado Char1"/>
    <w:basedOn w:val="DefaultParagraphFont"/>
    <w:link w:val="Header"/>
    <w:uiPriority w:val="99"/>
    <w:rsid w:val="00E878B5"/>
  </w:style>
  <w:style w:type="paragraph" w:styleId="FootnoteText">
    <w:name w:val="footnote text"/>
    <w:basedOn w:val="Normal"/>
    <w:link w:val="FootnoteTextChar"/>
    <w:uiPriority w:val="99"/>
    <w:semiHidden/>
    <w:unhideWhenUsed/>
    <w:rsid w:val="000F03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3A3"/>
    <w:rPr>
      <w:sz w:val="20"/>
      <w:szCs w:val="20"/>
    </w:rPr>
  </w:style>
  <w:style w:type="character" w:styleId="FootnoteReference">
    <w:name w:val="footnote reference"/>
    <w:basedOn w:val="DefaultParagraphFont"/>
    <w:uiPriority w:val="99"/>
    <w:semiHidden/>
    <w:unhideWhenUsed/>
    <w:rsid w:val="000F03A3"/>
    <w:rPr>
      <w:vertAlign w:val="superscript"/>
    </w:rPr>
  </w:style>
  <w:style w:type="paragraph" w:customStyle="1" w:styleId="TextIndent05">
    <w:name w:val="Text Indent 0.5"/>
    <w:basedOn w:val="Normal"/>
    <w:rsid w:val="007D49B1"/>
    <w:pPr>
      <w:autoSpaceDE w:val="0"/>
      <w:autoSpaceDN w:val="0"/>
      <w:adjustRightInd w:val="0"/>
      <w:spacing w:after="240" w:line="240" w:lineRule="auto"/>
      <w:ind w:firstLine="720"/>
    </w:pPr>
    <w:rPr>
      <w:rFonts w:ascii="Times New Roman" w:eastAsia="Calibri" w:hAnsi="Times New Roman" w:cs="Times New Roman"/>
      <w:sz w:val="20"/>
      <w:szCs w:val="18"/>
      <w:lang w:val="en-US"/>
    </w:rPr>
  </w:style>
  <w:style w:type="character" w:customStyle="1" w:styleId="HeaderChar4">
    <w:name w:val="Header Char4"/>
    <w:aliases w:val="encabezado Char"/>
    <w:uiPriority w:val="99"/>
    <w:rsid w:val="007D49B1"/>
    <w:rPr>
      <w:rFonts w:ascii="Times New Roman" w:eastAsia="Times New Roman" w:hAnsi="Times New Roman" w:cs="Times New Roman"/>
      <w:sz w:val="24"/>
      <w:szCs w:val="24"/>
      <w:lang w:val="x-none" w:eastAsia="x-none"/>
    </w:rPr>
  </w:style>
  <w:style w:type="character" w:customStyle="1" w:styleId="Heading5Char">
    <w:name w:val="Heading 5 Char"/>
    <w:basedOn w:val="DefaultParagraphFont"/>
    <w:uiPriority w:val="9"/>
    <w:semiHidden/>
    <w:rsid w:val="00763E38"/>
    <w:rPr>
      <w:rFonts w:asciiTheme="majorHAnsi" w:eastAsiaTheme="majorEastAsia" w:hAnsiTheme="majorHAnsi" w:cstheme="majorBidi"/>
      <w:color w:val="1F4D78" w:themeColor="accent1" w:themeShade="7F"/>
    </w:rPr>
  </w:style>
  <w:style w:type="character" w:customStyle="1" w:styleId="Heading5Char1">
    <w:name w:val="Heading 5 Char1"/>
    <w:link w:val="Heading5"/>
    <w:uiPriority w:val="9"/>
    <w:rsid w:val="00763E38"/>
    <w:rPr>
      <w:rFonts w:ascii="CG Times (W1)" w:eastAsia="Times New Roman" w:hAnsi="CG Times (W1)" w:cs="Times New Roman"/>
      <w:b/>
      <w:sz w:val="20"/>
      <w:szCs w:val="20"/>
      <w:lang w:val="es-ES_tradnl" w:eastAsia="es-ES"/>
    </w:rPr>
  </w:style>
  <w:style w:type="character" w:customStyle="1" w:styleId="Heading5Char4">
    <w:name w:val="Heading 5 Char4"/>
    <w:uiPriority w:val="9"/>
    <w:rsid w:val="00545D28"/>
    <w:rPr>
      <w:rFonts w:ascii="CG Times (W1)" w:eastAsia="Times New Roman" w:hAnsi="CG Times (W1)" w:cs="Times New Roman"/>
      <w:b/>
      <w:sz w:val="20"/>
      <w:szCs w:val="20"/>
      <w:lang w:val="es-ES_tradnl" w:eastAsia="es-ES"/>
    </w:rPr>
  </w:style>
  <w:style w:type="character" w:customStyle="1" w:styleId="UnresolvedMention1">
    <w:name w:val="Unresolved Mention1"/>
    <w:basedOn w:val="DefaultParagraphFont"/>
    <w:uiPriority w:val="99"/>
    <w:semiHidden/>
    <w:unhideWhenUsed/>
    <w:rsid w:val="00A0171B"/>
    <w:rPr>
      <w:color w:val="605E5C"/>
      <w:shd w:val="clear" w:color="auto" w:fill="E1DFDD"/>
    </w:rPr>
  </w:style>
  <w:style w:type="character" w:styleId="FollowedHyperlink">
    <w:name w:val="FollowedHyperlink"/>
    <w:basedOn w:val="DefaultParagraphFont"/>
    <w:uiPriority w:val="99"/>
    <w:semiHidden/>
    <w:unhideWhenUsed/>
    <w:rsid w:val="00005E1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1"/>
    <w:uiPriority w:val="9"/>
    <w:qFormat/>
    <w:rsid w:val="00763E38"/>
    <w:pPr>
      <w:keepNext/>
      <w:spacing w:after="0" w:line="240" w:lineRule="auto"/>
      <w:jc w:val="center"/>
      <w:outlineLvl w:val="4"/>
    </w:pPr>
    <w:rPr>
      <w:rFonts w:ascii="CG Times (W1)" w:eastAsia="Times New Roman" w:hAnsi="CG Times (W1)" w:cs="Times New Roman"/>
      <w:b/>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287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FooterChar">
    <w:name w:val="Footer Char"/>
    <w:basedOn w:val="DefaultParagraphFont"/>
    <w:link w:val="Footer"/>
    <w:rsid w:val="009F2878"/>
    <w:rPr>
      <w:rFonts w:ascii="Times New Roman" w:eastAsia="Times New Roman" w:hAnsi="Times New Roman" w:cs="Times New Roman"/>
      <w:sz w:val="20"/>
      <w:szCs w:val="20"/>
      <w:lang w:val="es-ES" w:eastAsia="es-ES"/>
    </w:rPr>
  </w:style>
  <w:style w:type="character" w:styleId="PageNumber">
    <w:name w:val="page number"/>
    <w:basedOn w:val="DefaultParagraphFont"/>
    <w:rsid w:val="009F2878"/>
  </w:style>
  <w:style w:type="character" w:styleId="Hyperlink">
    <w:name w:val="Hyperlink"/>
    <w:uiPriority w:val="99"/>
    <w:unhideWhenUsed/>
    <w:rsid w:val="009F2878"/>
    <w:rPr>
      <w:color w:val="0000FF"/>
      <w:u w:val="single"/>
    </w:rPr>
  </w:style>
  <w:style w:type="paragraph" w:customStyle="1" w:styleId="BHTexto">
    <w:name w:val="BH Texto"/>
    <w:basedOn w:val="Normal"/>
    <w:link w:val="BHTextoCar"/>
    <w:qFormat/>
    <w:rsid w:val="009F2878"/>
    <w:pPr>
      <w:autoSpaceDE w:val="0"/>
      <w:autoSpaceDN w:val="0"/>
      <w:adjustRightInd w:val="0"/>
      <w:spacing w:before="120" w:after="120" w:line="240" w:lineRule="auto"/>
      <w:jc w:val="both"/>
    </w:pPr>
    <w:rPr>
      <w:rFonts w:ascii="Times New Roman" w:eastAsia="Calibri" w:hAnsi="Times New Roman" w:cs="Times New Roman"/>
      <w:sz w:val="20"/>
      <w:szCs w:val="20"/>
      <w:lang w:val="en-US" w:eastAsia="es-AR"/>
    </w:rPr>
  </w:style>
  <w:style w:type="character" w:customStyle="1" w:styleId="BHTextoCar">
    <w:name w:val="BH Texto Car"/>
    <w:link w:val="BHTexto"/>
    <w:rsid w:val="009F2878"/>
    <w:rPr>
      <w:rFonts w:ascii="Times New Roman" w:eastAsia="Calibri" w:hAnsi="Times New Roman" w:cs="Times New Roman"/>
      <w:sz w:val="20"/>
      <w:szCs w:val="20"/>
      <w:lang w:val="en-US" w:eastAsia="es-AR"/>
    </w:rPr>
  </w:style>
  <w:style w:type="character" w:styleId="PlaceholderText">
    <w:name w:val="Placeholder Text"/>
    <w:basedOn w:val="DefaultParagraphFont"/>
    <w:uiPriority w:val="99"/>
    <w:semiHidden/>
    <w:rsid w:val="00773D67"/>
    <w:rPr>
      <w:color w:val="808080"/>
    </w:rPr>
  </w:style>
  <w:style w:type="paragraph" w:styleId="BalloonText">
    <w:name w:val="Balloon Text"/>
    <w:basedOn w:val="Normal"/>
    <w:link w:val="BalloonTextChar"/>
    <w:uiPriority w:val="99"/>
    <w:semiHidden/>
    <w:unhideWhenUsed/>
    <w:rsid w:val="00B37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E1"/>
    <w:rPr>
      <w:rFonts w:ascii="Segoe UI" w:hAnsi="Segoe UI" w:cs="Segoe UI"/>
      <w:sz w:val="18"/>
      <w:szCs w:val="18"/>
    </w:rPr>
  </w:style>
  <w:style w:type="table" w:styleId="TableGrid">
    <w:name w:val="Table Grid"/>
    <w:basedOn w:val="TableNormal"/>
    <w:uiPriority w:val="39"/>
    <w:rsid w:val="00B3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E17"/>
    <w:rPr>
      <w:sz w:val="16"/>
      <w:szCs w:val="16"/>
    </w:rPr>
  </w:style>
  <w:style w:type="paragraph" w:styleId="CommentText">
    <w:name w:val="annotation text"/>
    <w:basedOn w:val="Normal"/>
    <w:link w:val="CommentTextChar"/>
    <w:uiPriority w:val="99"/>
    <w:semiHidden/>
    <w:unhideWhenUsed/>
    <w:rsid w:val="00164E17"/>
    <w:pPr>
      <w:spacing w:line="240" w:lineRule="auto"/>
    </w:pPr>
    <w:rPr>
      <w:sz w:val="20"/>
      <w:szCs w:val="20"/>
    </w:rPr>
  </w:style>
  <w:style w:type="character" w:customStyle="1" w:styleId="CommentTextChar">
    <w:name w:val="Comment Text Char"/>
    <w:basedOn w:val="DefaultParagraphFont"/>
    <w:link w:val="CommentText"/>
    <w:uiPriority w:val="99"/>
    <w:semiHidden/>
    <w:rsid w:val="00164E17"/>
    <w:rPr>
      <w:sz w:val="20"/>
      <w:szCs w:val="20"/>
    </w:rPr>
  </w:style>
  <w:style w:type="paragraph" w:styleId="CommentSubject">
    <w:name w:val="annotation subject"/>
    <w:basedOn w:val="CommentText"/>
    <w:next w:val="CommentText"/>
    <w:link w:val="CommentSubjectChar"/>
    <w:uiPriority w:val="99"/>
    <w:semiHidden/>
    <w:unhideWhenUsed/>
    <w:rsid w:val="00164E17"/>
    <w:rPr>
      <w:b/>
      <w:bCs/>
    </w:rPr>
  </w:style>
  <w:style w:type="character" w:customStyle="1" w:styleId="CommentSubjectChar">
    <w:name w:val="Comment Subject Char"/>
    <w:basedOn w:val="CommentTextChar"/>
    <w:link w:val="CommentSubject"/>
    <w:uiPriority w:val="99"/>
    <w:semiHidden/>
    <w:rsid w:val="00164E17"/>
    <w:rPr>
      <w:b/>
      <w:bCs/>
      <w:sz w:val="20"/>
      <w:szCs w:val="20"/>
    </w:rPr>
  </w:style>
  <w:style w:type="paragraph" w:styleId="ListParagraph">
    <w:name w:val="List Paragraph"/>
    <w:basedOn w:val="Normal"/>
    <w:uiPriority w:val="34"/>
    <w:qFormat/>
    <w:rsid w:val="006F24BA"/>
    <w:pPr>
      <w:ind w:left="720"/>
      <w:contextualSpacing/>
    </w:pPr>
  </w:style>
  <w:style w:type="paragraph" w:styleId="Revision">
    <w:name w:val="Revision"/>
    <w:hidden/>
    <w:uiPriority w:val="99"/>
    <w:semiHidden/>
    <w:rsid w:val="009F445B"/>
    <w:pPr>
      <w:spacing w:after="0" w:line="240" w:lineRule="auto"/>
    </w:pPr>
  </w:style>
  <w:style w:type="paragraph" w:customStyle="1" w:styleId="Default">
    <w:name w:val="Default"/>
    <w:rsid w:val="0073201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aliases w:val="encabezado"/>
    <w:basedOn w:val="Normal"/>
    <w:link w:val="HeaderChar"/>
    <w:uiPriority w:val="99"/>
    <w:unhideWhenUsed/>
    <w:qFormat/>
    <w:rsid w:val="00E878B5"/>
    <w:pPr>
      <w:tabs>
        <w:tab w:val="center" w:pos="4252"/>
        <w:tab w:val="right" w:pos="8504"/>
      </w:tabs>
      <w:spacing w:after="0" w:line="240" w:lineRule="auto"/>
    </w:pPr>
  </w:style>
  <w:style w:type="character" w:customStyle="1" w:styleId="HeaderChar">
    <w:name w:val="Header Char"/>
    <w:aliases w:val="encabezado Char1"/>
    <w:basedOn w:val="DefaultParagraphFont"/>
    <w:link w:val="Header"/>
    <w:uiPriority w:val="99"/>
    <w:rsid w:val="00E878B5"/>
  </w:style>
  <w:style w:type="paragraph" w:styleId="FootnoteText">
    <w:name w:val="footnote text"/>
    <w:basedOn w:val="Normal"/>
    <w:link w:val="FootnoteTextChar"/>
    <w:uiPriority w:val="99"/>
    <w:semiHidden/>
    <w:unhideWhenUsed/>
    <w:rsid w:val="000F03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3A3"/>
    <w:rPr>
      <w:sz w:val="20"/>
      <w:szCs w:val="20"/>
    </w:rPr>
  </w:style>
  <w:style w:type="character" w:styleId="FootnoteReference">
    <w:name w:val="footnote reference"/>
    <w:basedOn w:val="DefaultParagraphFont"/>
    <w:uiPriority w:val="99"/>
    <w:semiHidden/>
    <w:unhideWhenUsed/>
    <w:rsid w:val="000F03A3"/>
    <w:rPr>
      <w:vertAlign w:val="superscript"/>
    </w:rPr>
  </w:style>
  <w:style w:type="paragraph" w:customStyle="1" w:styleId="TextIndent05">
    <w:name w:val="Text Indent 0.5"/>
    <w:basedOn w:val="Normal"/>
    <w:rsid w:val="007D49B1"/>
    <w:pPr>
      <w:autoSpaceDE w:val="0"/>
      <w:autoSpaceDN w:val="0"/>
      <w:adjustRightInd w:val="0"/>
      <w:spacing w:after="240" w:line="240" w:lineRule="auto"/>
      <w:ind w:firstLine="720"/>
    </w:pPr>
    <w:rPr>
      <w:rFonts w:ascii="Times New Roman" w:eastAsia="Calibri" w:hAnsi="Times New Roman" w:cs="Times New Roman"/>
      <w:sz w:val="20"/>
      <w:szCs w:val="18"/>
      <w:lang w:val="en-US"/>
    </w:rPr>
  </w:style>
  <w:style w:type="character" w:customStyle="1" w:styleId="HeaderChar4">
    <w:name w:val="Header Char4"/>
    <w:aliases w:val="encabezado Char"/>
    <w:uiPriority w:val="99"/>
    <w:rsid w:val="007D49B1"/>
    <w:rPr>
      <w:rFonts w:ascii="Times New Roman" w:eastAsia="Times New Roman" w:hAnsi="Times New Roman" w:cs="Times New Roman"/>
      <w:sz w:val="24"/>
      <w:szCs w:val="24"/>
      <w:lang w:val="x-none" w:eastAsia="x-none"/>
    </w:rPr>
  </w:style>
  <w:style w:type="character" w:customStyle="1" w:styleId="Heading5Char">
    <w:name w:val="Heading 5 Char"/>
    <w:basedOn w:val="DefaultParagraphFont"/>
    <w:uiPriority w:val="9"/>
    <w:semiHidden/>
    <w:rsid w:val="00763E38"/>
    <w:rPr>
      <w:rFonts w:asciiTheme="majorHAnsi" w:eastAsiaTheme="majorEastAsia" w:hAnsiTheme="majorHAnsi" w:cstheme="majorBidi"/>
      <w:color w:val="1F4D78" w:themeColor="accent1" w:themeShade="7F"/>
    </w:rPr>
  </w:style>
  <w:style w:type="character" w:customStyle="1" w:styleId="Heading5Char1">
    <w:name w:val="Heading 5 Char1"/>
    <w:link w:val="Heading5"/>
    <w:uiPriority w:val="9"/>
    <w:rsid w:val="00763E38"/>
    <w:rPr>
      <w:rFonts w:ascii="CG Times (W1)" w:eastAsia="Times New Roman" w:hAnsi="CG Times (W1)" w:cs="Times New Roman"/>
      <w:b/>
      <w:sz w:val="20"/>
      <w:szCs w:val="20"/>
      <w:lang w:val="es-ES_tradnl" w:eastAsia="es-ES"/>
    </w:rPr>
  </w:style>
  <w:style w:type="character" w:customStyle="1" w:styleId="Heading5Char4">
    <w:name w:val="Heading 5 Char4"/>
    <w:uiPriority w:val="9"/>
    <w:rsid w:val="00545D28"/>
    <w:rPr>
      <w:rFonts w:ascii="CG Times (W1)" w:eastAsia="Times New Roman" w:hAnsi="CG Times (W1)" w:cs="Times New Roman"/>
      <w:b/>
      <w:sz w:val="20"/>
      <w:szCs w:val="20"/>
      <w:lang w:val="es-ES_tradnl" w:eastAsia="es-ES"/>
    </w:rPr>
  </w:style>
  <w:style w:type="character" w:customStyle="1" w:styleId="UnresolvedMention1">
    <w:name w:val="Unresolved Mention1"/>
    <w:basedOn w:val="DefaultParagraphFont"/>
    <w:uiPriority w:val="99"/>
    <w:semiHidden/>
    <w:unhideWhenUsed/>
    <w:rsid w:val="00A0171B"/>
    <w:rPr>
      <w:color w:val="605E5C"/>
      <w:shd w:val="clear" w:color="auto" w:fill="E1DFDD"/>
    </w:rPr>
  </w:style>
  <w:style w:type="character" w:styleId="FollowedHyperlink">
    <w:name w:val="FollowedHyperlink"/>
    <w:basedOn w:val="DefaultParagraphFont"/>
    <w:uiPriority w:val="99"/>
    <w:semiHidden/>
    <w:unhideWhenUsed/>
    <w:rsid w:val="00005E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2971">
      <w:bodyDiv w:val="1"/>
      <w:marLeft w:val="0"/>
      <w:marRight w:val="0"/>
      <w:marTop w:val="0"/>
      <w:marBottom w:val="0"/>
      <w:divBdr>
        <w:top w:val="none" w:sz="0" w:space="0" w:color="auto"/>
        <w:left w:val="none" w:sz="0" w:space="0" w:color="auto"/>
        <w:bottom w:val="none" w:sz="0" w:space="0" w:color="auto"/>
        <w:right w:val="none" w:sz="0" w:space="0" w:color="auto"/>
      </w:divBdr>
    </w:div>
    <w:div w:id="210266710">
      <w:bodyDiv w:val="1"/>
      <w:marLeft w:val="0"/>
      <w:marRight w:val="0"/>
      <w:marTop w:val="0"/>
      <w:marBottom w:val="0"/>
      <w:divBdr>
        <w:top w:val="none" w:sz="0" w:space="0" w:color="auto"/>
        <w:left w:val="none" w:sz="0" w:space="0" w:color="auto"/>
        <w:bottom w:val="none" w:sz="0" w:space="0" w:color="auto"/>
        <w:right w:val="none" w:sz="0" w:space="0" w:color="auto"/>
      </w:divBdr>
    </w:div>
    <w:div w:id="244415675">
      <w:bodyDiv w:val="1"/>
      <w:marLeft w:val="0"/>
      <w:marRight w:val="0"/>
      <w:marTop w:val="0"/>
      <w:marBottom w:val="0"/>
      <w:divBdr>
        <w:top w:val="none" w:sz="0" w:space="0" w:color="auto"/>
        <w:left w:val="none" w:sz="0" w:space="0" w:color="auto"/>
        <w:bottom w:val="none" w:sz="0" w:space="0" w:color="auto"/>
        <w:right w:val="none" w:sz="0" w:space="0" w:color="auto"/>
      </w:divBdr>
    </w:div>
    <w:div w:id="281108031">
      <w:bodyDiv w:val="1"/>
      <w:marLeft w:val="0"/>
      <w:marRight w:val="0"/>
      <w:marTop w:val="0"/>
      <w:marBottom w:val="0"/>
      <w:divBdr>
        <w:top w:val="none" w:sz="0" w:space="0" w:color="auto"/>
        <w:left w:val="none" w:sz="0" w:space="0" w:color="auto"/>
        <w:bottom w:val="none" w:sz="0" w:space="0" w:color="auto"/>
        <w:right w:val="none" w:sz="0" w:space="0" w:color="auto"/>
      </w:divBdr>
    </w:div>
    <w:div w:id="598374380">
      <w:bodyDiv w:val="1"/>
      <w:marLeft w:val="0"/>
      <w:marRight w:val="0"/>
      <w:marTop w:val="0"/>
      <w:marBottom w:val="0"/>
      <w:divBdr>
        <w:top w:val="none" w:sz="0" w:space="0" w:color="auto"/>
        <w:left w:val="none" w:sz="0" w:space="0" w:color="auto"/>
        <w:bottom w:val="none" w:sz="0" w:space="0" w:color="auto"/>
        <w:right w:val="none" w:sz="0" w:space="0" w:color="auto"/>
      </w:divBdr>
    </w:div>
    <w:div w:id="809444512">
      <w:bodyDiv w:val="1"/>
      <w:marLeft w:val="0"/>
      <w:marRight w:val="0"/>
      <w:marTop w:val="0"/>
      <w:marBottom w:val="0"/>
      <w:divBdr>
        <w:top w:val="none" w:sz="0" w:space="0" w:color="auto"/>
        <w:left w:val="none" w:sz="0" w:space="0" w:color="auto"/>
        <w:bottom w:val="none" w:sz="0" w:space="0" w:color="auto"/>
        <w:right w:val="none" w:sz="0" w:space="0" w:color="auto"/>
      </w:divBdr>
    </w:div>
    <w:div w:id="17160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cresud.com.ar"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lsar.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a.com.a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Usuario\Documents\ZBV\CRESUD\www.cresud.com.a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3343-978C-48AB-9787-7A836392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2136</Words>
  <Characters>11748</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Argentina</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Belén Paoletta</dc:creator>
  <cp:lastModifiedBy>ignaciomilito</cp:lastModifiedBy>
  <cp:revision>3</cp:revision>
  <dcterms:created xsi:type="dcterms:W3CDTF">2021-07-05T15:55:00Z</dcterms:created>
  <dcterms:modified xsi:type="dcterms:W3CDTF">2021-07-05T15:58:00Z</dcterms:modified>
</cp:coreProperties>
</file>